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CC41" w14:textId="7AA79660" w:rsidR="0032126E" w:rsidRPr="0032126E" w:rsidRDefault="0032126E" w:rsidP="0032126E">
      <w:pPr>
        <w:spacing w:after="300"/>
        <w:jc w:val="center"/>
        <w:outlineLvl w:val="2"/>
        <w:rPr>
          <w:rFonts w:ascii="Roboto" w:hAnsi="Roboto"/>
          <w:b/>
          <w:bCs/>
          <w:color w:val="2E2E2E"/>
          <w:sz w:val="27"/>
          <w:szCs w:val="27"/>
          <w:lang w:val="pt-BR"/>
        </w:rPr>
      </w:pPr>
      <w:proofErr w:type="spellStart"/>
      <w:r>
        <w:rPr>
          <w:rFonts w:ascii="Roboto" w:hAnsi="Roboto"/>
          <w:b/>
          <w:bCs/>
          <w:color w:val="2E2E2E"/>
          <w:sz w:val="27"/>
          <w:szCs w:val="27"/>
          <w:lang w:val="pt-BR"/>
        </w:rPr>
        <w:t>Statistics</w:t>
      </w:r>
      <w:proofErr w:type="spellEnd"/>
      <w:r>
        <w:rPr>
          <w:rFonts w:ascii="Roboto" w:hAnsi="Roboto"/>
          <w:b/>
          <w:bCs/>
          <w:color w:val="2E2E2E"/>
          <w:sz w:val="27"/>
          <w:szCs w:val="27"/>
          <w:lang w:val="pt-BR"/>
        </w:rPr>
        <w:t xml:space="preserve"> </w:t>
      </w:r>
      <w:proofErr w:type="spellStart"/>
      <w:r>
        <w:rPr>
          <w:rFonts w:ascii="Roboto" w:hAnsi="Roboto"/>
          <w:b/>
          <w:bCs/>
          <w:color w:val="2E2E2E"/>
          <w:sz w:val="27"/>
          <w:szCs w:val="27"/>
          <w:lang w:val="pt-BR"/>
        </w:rPr>
        <w:t>Report</w:t>
      </w:r>
      <w:proofErr w:type="spellEnd"/>
      <w:r>
        <w:rPr>
          <w:rFonts w:ascii="Roboto" w:hAnsi="Roboto"/>
          <w:b/>
          <w:bCs/>
          <w:color w:val="2E2E2E"/>
          <w:sz w:val="27"/>
          <w:szCs w:val="27"/>
          <w:lang w:val="pt-BR"/>
        </w:rPr>
        <w:t xml:space="preserve"> – Doping </w:t>
      </w:r>
      <w:proofErr w:type="spellStart"/>
      <w:r>
        <w:rPr>
          <w:rFonts w:ascii="Roboto" w:hAnsi="Roboto"/>
          <w:b/>
          <w:bCs/>
          <w:color w:val="2E2E2E"/>
          <w:sz w:val="27"/>
          <w:szCs w:val="27"/>
          <w:lang w:val="pt-BR"/>
        </w:rPr>
        <w:t>Control</w:t>
      </w:r>
      <w:proofErr w:type="spellEnd"/>
      <w:r>
        <w:rPr>
          <w:rFonts w:ascii="Roboto" w:hAnsi="Roboto"/>
          <w:b/>
          <w:bCs/>
          <w:color w:val="2E2E2E"/>
          <w:sz w:val="27"/>
          <w:szCs w:val="27"/>
          <w:lang w:val="pt-BR"/>
        </w:rPr>
        <w:t xml:space="preserve"> 2023</w:t>
      </w:r>
    </w:p>
    <w:p w14:paraId="32E9BD49" w14:textId="77777777" w:rsidR="0032126E" w:rsidRDefault="0032126E" w:rsidP="0032126E">
      <w:pPr>
        <w:spacing w:before="100" w:beforeAutospacing="1" w:after="100" w:afterAutospacing="1"/>
        <w:jc w:val="both"/>
        <w:rPr>
          <w:rFonts w:ascii="Roboto" w:hAnsi="Roboto"/>
          <w:i/>
          <w:iCs/>
          <w:color w:val="2E2E2E"/>
          <w:u w:val="single"/>
        </w:rPr>
      </w:pPr>
    </w:p>
    <w:p w14:paraId="204CC690" w14:textId="7394EA34" w:rsidR="0032126E" w:rsidRPr="0032126E" w:rsidRDefault="0032126E" w:rsidP="0032126E">
      <w:pPr>
        <w:spacing w:before="100" w:beforeAutospacing="1" w:after="100" w:afterAutospacing="1"/>
        <w:jc w:val="both"/>
        <w:rPr>
          <w:rFonts w:ascii="Roboto" w:hAnsi="Roboto"/>
          <w:color w:val="2E2E2E"/>
        </w:rPr>
      </w:pPr>
      <w:r w:rsidRPr="0032126E">
        <w:rPr>
          <w:rFonts w:ascii="Roboto" w:hAnsi="Roboto"/>
          <w:i/>
          <w:iCs/>
          <w:color w:val="2E2E2E"/>
          <w:u w:val="single"/>
        </w:rPr>
        <w:t>Testing per Sport</w:t>
      </w:r>
    </w:p>
    <w:p w14:paraId="3C6A39D6" w14:textId="17D4D0B8" w:rsidR="0032126E" w:rsidRPr="0032126E" w:rsidRDefault="0032126E" w:rsidP="0032126E">
      <w:pPr>
        <w:spacing w:before="100" w:beforeAutospacing="1" w:after="100" w:afterAutospacing="1"/>
        <w:jc w:val="both"/>
        <w:rPr>
          <w:rFonts w:ascii="Roboto" w:hAnsi="Roboto"/>
          <w:color w:val="2E2E2E"/>
        </w:rPr>
      </w:pPr>
      <w:r w:rsidRPr="0032126E">
        <w:rPr>
          <w:rFonts w:ascii="Roboto" w:hAnsi="Roboto"/>
          <w:color w:val="2E2E2E"/>
        </w:rPr>
        <w:t>Compared to 202</w:t>
      </w:r>
      <w:r w:rsidRPr="0032126E">
        <w:rPr>
          <w:rFonts w:ascii="Roboto" w:hAnsi="Roboto"/>
          <w:color w:val="2E2E2E"/>
          <w:lang w:val="en-US"/>
        </w:rPr>
        <w:t>2</w:t>
      </w:r>
      <w:r w:rsidRPr="0032126E">
        <w:rPr>
          <w:rFonts w:ascii="Roboto" w:hAnsi="Roboto"/>
          <w:color w:val="2E2E2E"/>
        </w:rPr>
        <w:t xml:space="preserve"> and the years before, IBSA increased the testing scale in and out of competition upon a tough review in its Risk Assessment and Testing Distribution Plan in compliance with WADA international standards and technical documents.</w:t>
      </w:r>
    </w:p>
    <w:p w14:paraId="23EAEFBC" w14:textId="7D405E76" w:rsidR="0032126E" w:rsidRDefault="0032126E" w:rsidP="0032126E">
      <w:pPr>
        <w:spacing w:before="100" w:beforeAutospacing="1" w:after="100" w:afterAutospacing="1"/>
        <w:jc w:val="both"/>
        <w:rPr>
          <w:rFonts w:ascii="Roboto" w:hAnsi="Roboto"/>
          <w:color w:val="2E2E2E"/>
        </w:rPr>
      </w:pPr>
      <w:r w:rsidRPr="0032126E">
        <w:rPr>
          <w:rFonts w:ascii="Roboto" w:hAnsi="Roboto"/>
          <w:color w:val="2E2E2E"/>
        </w:rPr>
        <w:t>During 202</w:t>
      </w:r>
      <w:r w:rsidRPr="0032126E">
        <w:rPr>
          <w:rFonts w:ascii="Roboto" w:hAnsi="Roboto"/>
          <w:color w:val="2E2E2E"/>
          <w:lang w:val="en-US"/>
        </w:rPr>
        <w:t>3</w:t>
      </w:r>
      <w:r w:rsidRPr="0032126E">
        <w:rPr>
          <w:rFonts w:ascii="Roboto" w:hAnsi="Roboto"/>
          <w:color w:val="2E2E2E"/>
        </w:rPr>
        <w:t xml:space="preserve"> a total of </w:t>
      </w:r>
      <w:r w:rsidRPr="0032126E">
        <w:rPr>
          <w:rFonts w:ascii="Roboto" w:hAnsi="Roboto"/>
          <w:color w:val="2E2E2E"/>
          <w:lang w:val="en-US"/>
        </w:rPr>
        <w:t>315</w:t>
      </w:r>
      <w:r w:rsidRPr="0032126E">
        <w:rPr>
          <w:rFonts w:ascii="Roboto" w:hAnsi="Roboto"/>
          <w:color w:val="2E2E2E"/>
        </w:rPr>
        <w:t xml:space="preserve"> samples (including blood samples) were collected under IBSA as Testing and Results Management Authority within </w:t>
      </w:r>
      <w:r w:rsidRPr="0032126E">
        <w:rPr>
          <w:rFonts w:ascii="Roboto" w:hAnsi="Roboto"/>
          <w:color w:val="2E2E2E"/>
          <w:lang w:val="en-US"/>
        </w:rPr>
        <w:t xml:space="preserve">sone </w:t>
      </w:r>
      <w:r w:rsidRPr="0032126E">
        <w:rPr>
          <w:rFonts w:ascii="Roboto" w:hAnsi="Roboto"/>
          <w:color w:val="2E2E2E"/>
        </w:rPr>
        <w:t>IBSA sports with the higher doping risk scores on IBSA 202</w:t>
      </w:r>
      <w:r w:rsidRPr="0032126E">
        <w:rPr>
          <w:rFonts w:ascii="Roboto" w:hAnsi="Roboto"/>
          <w:color w:val="2E2E2E"/>
          <w:lang w:val="en-US"/>
        </w:rPr>
        <w:t>3</w:t>
      </w:r>
      <w:r w:rsidRPr="0032126E">
        <w:rPr>
          <w:rFonts w:ascii="Roboto" w:hAnsi="Roboto"/>
          <w:color w:val="2E2E2E"/>
        </w:rPr>
        <w:t xml:space="preserve"> Risk Assessment, taking also into account the number of practicing athletes and the number of sanctioned events:</w:t>
      </w:r>
    </w:p>
    <w:p w14:paraId="01B48A00" w14:textId="77777777" w:rsidR="0032126E" w:rsidRDefault="0032126E" w:rsidP="0032126E">
      <w:pPr>
        <w:spacing w:before="100" w:beforeAutospacing="1" w:after="100" w:afterAutospacing="1"/>
        <w:jc w:val="both"/>
        <w:rPr>
          <w:rFonts w:ascii="Roboto" w:hAnsi="Roboto"/>
          <w:color w:val="2E2E2E"/>
        </w:rPr>
      </w:pPr>
    </w:p>
    <w:tbl>
      <w:tblPr>
        <w:tblW w:w="6780" w:type="dxa"/>
        <w:jc w:val="center"/>
        <w:tblCellMar>
          <w:left w:w="70" w:type="dxa"/>
          <w:right w:w="70" w:type="dxa"/>
        </w:tblCellMar>
        <w:tblLook w:val="04A0" w:firstRow="1" w:lastRow="0" w:firstColumn="1" w:lastColumn="0" w:noHBand="0" w:noVBand="1"/>
      </w:tblPr>
      <w:tblGrid>
        <w:gridCol w:w="2263"/>
        <w:gridCol w:w="2268"/>
        <w:gridCol w:w="2249"/>
      </w:tblGrid>
      <w:tr w:rsidR="0032126E" w:rsidRPr="0032126E" w14:paraId="0EDD43CF" w14:textId="77777777" w:rsidTr="0032126E">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66ACD110"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 xml:space="preserve">Doping Control - Statistics </w:t>
            </w:r>
          </w:p>
        </w:tc>
      </w:tr>
      <w:tr w:rsidR="0032126E" w:rsidRPr="0032126E" w14:paraId="7A0AB735" w14:textId="77777777" w:rsidTr="0032126E">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7F0C60"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Sports</w:t>
            </w:r>
          </w:p>
        </w:tc>
      </w:tr>
      <w:tr w:rsidR="0032126E" w:rsidRPr="0032126E" w14:paraId="18C96E2D"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000000" w:fill="ACB9CA"/>
            <w:noWrap/>
            <w:vAlign w:val="bottom"/>
            <w:hideMark/>
          </w:tcPr>
          <w:p w14:paraId="08236185"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Bowling</w:t>
            </w:r>
          </w:p>
        </w:tc>
        <w:tc>
          <w:tcPr>
            <w:tcW w:w="2268" w:type="dxa"/>
            <w:tcBorders>
              <w:top w:val="nil"/>
              <w:left w:val="nil"/>
              <w:bottom w:val="single" w:sz="4" w:space="0" w:color="auto"/>
              <w:right w:val="single" w:sz="4" w:space="0" w:color="auto"/>
            </w:tcBorders>
            <w:shd w:val="clear" w:color="000000" w:fill="ACB9CA"/>
            <w:noWrap/>
            <w:vAlign w:val="bottom"/>
            <w:hideMark/>
          </w:tcPr>
          <w:p w14:paraId="5060E922"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Football*</w:t>
            </w:r>
          </w:p>
        </w:tc>
        <w:tc>
          <w:tcPr>
            <w:tcW w:w="2249" w:type="dxa"/>
            <w:tcBorders>
              <w:top w:val="nil"/>
              <w:left w:val="nil"/>
              <w:bottom w:val="single" w:sz="4" w:space="0" w:color="auto"/>
              <w:right w:val="single" w:sz="4" w:space="0" w:color="auto"/>
            </w:tcBorders>
            <w:shd w:val="clear" w:color="000000" w:fill="ACB9CA"/>
            <w:noWrap/>
            <w:vAlign w:val="bottom"/>
            <w:hideMark/>
          </w:tcPr>
          <w:p w14:paraId="30DC9192"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Goalball</w:t>
            </w:r>
          </w:p>
        </w:tc>
      </w:tr>
      <w:tr w:rsidR="0032126E" w:rsidRPr="0032126E" w14:paraId="16F46664"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294698D"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13</w:t>
            </w:r>
          </w:p>
        </w:tc>
        <w:tc>
          <w:tcPr>
            <w:tcW w:w="2268" w:type="dxa"/>
            <w:tcBorders>
              <w:top w:val="nil"/>
              <w:left w:val="nil"/>
              <w:bottom w:val="single" w:sz="4" w:space="0" w:color="auto"/>
              <w:right w:val="single" w:sz="4" w:space="0" w:color="auto"/>
            </w:tcBorders>
            <w:shd w:val="clear" w:color="auto" w:fill="auto"/>
            <w:noWrap/>
            <w:vAlign w:val="bottom"/>
            <w:hideMark/>
          </w:tcPr>
          <w:p w14:paraId="12A1F85A"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52</w:t>
            </w:r>
          </w:p>
        </w:tc>
        <w:tc>
          <w:tcPr>
            <w:tcW w:w="2249" w:type="dxa"/>
            <w:tcBorders>
              <w:top w:val="nil"/>
              <w:left w:val="nil"/>
              <w:bottom w:val="single" w:sz="4" w:space="0" w:color="auto"/>
              <w:right w:val="single" w:sz="4" w:space="0" w:color="auto"/>
            </w:tcBorders>
            <w:shd w:val="clear" w:color="auto" w:fill="auto"/>
            <w:noWrap/>
            <w:vAlign w:val="bottom"/>
            <w:hideMark/>
          </w:tcPr>
          <w:p w14:paraId="6AC15C07"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47</w:t>
            </w:r>
          </w:p>
        </w:tc>
      </w:tr>
      <w:tr w:rsidR="0032126E" w:rsidRPr="0032126E" w14:paraId="41F19E3A"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000000" w:fill="ACB9CA"/>
            <w:noWrap/>
            <w:vAlign w:val="bottom"/>
            <w:hideMark/>
          </w:tcPr>
          <w:p w14:paraId="3908C8BF"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Judo</w:t>
            </w:r>
          </w:p>
        </w:tc>
        <w:tc>
          <w:tcPr>
            <w:tcW w:w="2268" w:type="dxa"/>
            <w:tcBorders>
              <w:top w:val="nil"/>
              <w:left w:val="nil"/>
              <w:bottom w:val="single" w:sz="4" w:space="0" w:color="auto"/>
              <w:right w:val="single" w:sz="4" w:space="0" w:color="auto"/>
            </w:tcBorders>
            <w:shd w:val="clear" w:color="000000" w:fill="ACB9CA"/>
            <w:noWrap/>
            <w:vAlign w:val="bottom"/>
            <w:hideMark/>
          </w:tcPr>
          <w:p w14:paraId="210A06A1"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Powerlifting</w:t>
            </w:r>
          </w:p>
        </w:tc>
        <w:tc>
          <w:tcPr>
            <w:tcW w:w="2249" w:type="dxa"/>
            <w:tcBorders>
              <w:top w:val="nil"/>
              <w:left w:val="nil"/>
              <w:bottom w:val="single" w:sz="4" w:space="0" w:color="auto"/>
              <w:right w:val="single" w:sz="4" w:space="0" w:color="auto"/>
            </w:tcBorders>
            <w:shd w:val="clear" w:color="000000" w:fill="ACB9CA"/>
            <w:noWrap/>
            <w:vAlign w:val="bottom"/>
            <w:hideMark/>
          </w:tcPr>
          <w:p w14:paraId="18AD0DA8"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Showdown</w:t>
            </w:r>
          </w:p>
        </w:tc>
      </w:tr>
      <w:tr w:rsidR="0032126E" w:rsidRPr="0032126E" w14:paraId="6E2AF013"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4FF9C0"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179</w:t>
            </w:r>
          </w:p>
        </w:tc>
        <w:tc>
          <w:tcPr>
            <w:tcW w:w="2268" w:type="dxa"/>
            <w:tcBorders>
              <w:top w:val="nil"/>
              <w:left w:val="nil"/>
              <w:bottom w:val="single" w:sz="4" w:space="0" w:color="auto"/>
              <w:right w:val="single" w:sz="4" w:space="0" w:color="auto"/>
            </w:tcBorders>
            <w:shd w:val="clear" w:color="auto" w:fill="auto"/>
            <w:noWrap/>
            <w:vAlign w:val="bottom"/>
            <w:hideMark/>
          </w:tcPr>
          <w:p w14:paraId="302D1D0F"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14:paraId="4DC087EA"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2</w:t>
            </w:r>
          </w:p>
        </w:tc>
      </w:tr>
      <w:tr w:rsidR="0032126E" w:rsidRPr="0032126E" w14:paraId="0BC9EFC0" w14:textId="77777777" w:rsidTr="0032126E">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00490177"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TOTAL</w:t>
            </w:r>
          </w:p>
        </w:tc>
      </w:tr>
      <w:tr w:rsidR="0032126E" w:rsidRPr="0032126E" w14:paraId="49D704B6" w14:textId="77777777" w:rsidTr="0032126E">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FF5119"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315</w:t>
            </w:r>
          </w:p>
        </w:tc>
      </w:tr>
    </w:tbl>
    <w:p w14:paraId="6707DEA6" w14:textId="77777777" w:rsidR="0032126E" w:rsidRDefault="0032126E" w:rsidP="0032126E">
      <w:pPr>
        <w:pStyle w:val="NormalWeb"/>
        <w:jc w:val="both"/>
        <w:rPr>
          <w:rStyle w:val="nfase"/>
          <w:rFonts w:ascii="Roboto" w:hAnsi="Roboto"/>
          <w:color w:val="2E2E2E"/>
          <w:u w:val="single"/>
        </w:rPr>
      </w:pPr>
    </w:p>
    <w:p w14:paraId="16BAAF26" w14:textId="2E82B288" w:rsidR="0032126E" w:rsidRDefault="0032126E" w:rsidP="0032126E">
      <w:pPr>
        <w:pStyle w:val="NormalWeb"/>
        <w:jc w:val="both"/>
        <w:rPr>
          <w:rFonts w:ascii="Roboto" w:hAnsi="Roboto"/>
          <w:color w:val="2E2E2E"/>
        </w:rPr>
      </w:pPr>
      <w:r>
        <w:rPr>
          <w:rStyle w:val="nfase"/>
          <w:rFonts w:ascii="Roboto" w:hAnsi="Roboto"/>
          <w:color w:val="2E2E2E"/>
          <w:u w:val="single"/>
        </w:rPr>
        <w:t>Testing per Gender</w:t>
      </w:r>
    </w:p>
    <w:p w14:paraId="12DDFAFB" w14:textId="77777777" w:rsidR="0032126E" w:rsidRDefault="0032126E" w:rsidP="0032126E">
      <w:pPr>
        <w:pStyle w:val="NormalWeb"/>
        <w:jc w:val="both"/>
        <w:rPr>
          <w:rFonts w:ascii="Roboto" w:hAnsi="Roboto"/>
          <w:color w:val="2E2E2E"/>
        </w:rPr>
      </w:pPr>
      <w:r>
        <w:rPr>
          <w:rFonts w:ascii="Roboto" w:hAnsi="Roboto"/>
          <w:color w:val="2E2E2E"/>
        </w:rPr>
        <w:t>Upon IBSA prevails gender parity within its sports, Doping control in 2022 registered as well both genders tested out of competition and in competition at many IBSA Sanctioned events.</w:t>
      </w:r>
    </w:p>
    <w:tbl>
      <w:tblPr>
        <w:tblW w:w="6780" w:type="dxa"/>
        <w:jc w:val="center"/>
        <w:tblCellMar>
          <w:left w:w="70" w:type="dxa"/>
          <w:right w:w="70" w:type="dxa"/>
        </w:tblCellMar>
        <w:tblLook w:val="04A0" w:firstRow="1" w:lastRow="0" w:firstColumn="1" w:lastColumn="0" w:noHBand="0" w:noVBand="1"/>
      </w:tblPr>
      <w:tblGrid>
        <w:gridCol w:w="2263"/>
        <w:gridCol w:w="2268"/>
        <w:gridCol w:w="2249"/>
      </w:tblGrid>
      <w:tr w:rsidR="0032126E" w:rsidRPr="0032126E" w14:paraId="066298A9" w14:textId="77777777" w:rsidTr="0032126E">
        <w:trPr>
          <w:trHeight w:val="320"/>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97847AE"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 xml:space="preserve">Doping Control - Statistics </w:t>
            </w:r>
          </w:p>
        </w:tc>
      </w:tr>
      <w:tr w:rsidR="0032126E" w:rsidRPr="0032126E" w14:paraId="50AC57E4" w14:textId="77777777" w:rsidTr="0032126E">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873296"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Gender</w:t>
            </w:r>
          </w:p>
        </w:tc>
      </w:tr>
      <w:tr w:rsidR="0032126E" w:rsidRPr="0032126E" w14:paraId="08CC10E0"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B4B6E4"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Female</w:t>
            </w:r>
          </w:p>
        </w:tc>
        <w:tc>
          <w:tcPr>
            <w:tcW w:w="2268" w:type="dxa"/>
            <w:tcBorders>
              <w:top w:val="nil"/>
              <w:left w:val="nil"/>
              <w:bottom w:val="single" w:sz="4" w:space="0" w:color="auto"/>
              <w:right w:val="single" w:sz="4" w:space="0" w:color="auto"/>
            </w:tcBorders>
            <w:shd w:val="clear" w:color="auto" w:fill="auto"/>
            <w:noWrap/>
            <w:vAlign w:val="bottom"/>
            <w:hideMark/>
          </w:tcPr>
          <w:p w14:paraId="75D94CB3"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Male</w:t>
            </w:r>
          </w:p>
        </w:tc>
        <w:tc>
          <w:tcPr>
            <w:tcW w:w="2249" w:type="dxa"/>
            <w:tcBorders>
              <w:top w:val="nil"/>
              <w:left w:val="nil"/>
              <w:bottom w:val="single" w:sz="4" w:space="0" w:color="auto"/>
              <w:right w:val="single" w:sz="4" w:space="0" w:color="auto"/>
            </w:tcBorders>
            <w:shd w:val="clear" w:color="auto" w:fill="auto"/>
            <w:noWrap/>
            <w:vAlign w:val="bottom"/>
            <w:hideMark/>
          </w:tcPr>
          <w:p w14:paraId="2C60633E"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Unknow</w:t>
            </w:r>
          </w:p>
        </w:tc>
      </w:tr>
      <w:tr w:rsidR="0032126E" w:rsidRPr="0032126E" w14:paraId="202348F7"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7B02291"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119</w:t>
            </w:r>
          </w:p>
        </w:tc>
        <w:tc>
          <w:tcPr>
            <w:tcW w:w="2268" w:type="dxa"/>
            <w:tcBorders>
              <w:top w:val="nil"/>
              <w:left w:val="nil"/>
              <w:bottom w:val="single" w:sz="4" w:space="0" w:color="auto"/>
              <w:right w:val="single" w:sz="4" w:space="0" w:color="auto"/>
            </w:tcBorders>
            <w:shd w:val="clear" w:color="auto" w:fill="auto"/>
            <w:noWrap/>
            <w:vAlign w:val="bottom"/>
            <w:hideMark/>
          </w:tcPr>
          <w:p w14:paraId="5B2AC933"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195</w:t>
            </w:r>
          </w:p>
        </w:tc>
        <w:tc>
          <w:tcPr>
            <w:tcW w:w="2249" w:type="dxa"/>
            <w:tcBorders>
              <w:top w:val="nil"/>
              <w:left w:val="nil"/>
              <w:bottom w:val="single" w:sz="4" w:space="0" w:color="auto"/>
              <w:right w:val="single" w:sz="4" w:space="0" w:color="auto"/>
            </w:tcBorders>
            <w:shd w:val="clear" w:color="auto" w:fill="auto"/>
            <w:noWrap/>
            <w:vAlign w:val="bottom"/>
            <w:hideMark/>
          </w:tcPr>
          <w:p w14:paraId="13759008"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1</w:t>
            </w:r>
          </w:p>
        </w:tc>
      </w:tr>
      <w:tr w:rsidR="0032126E" w:rsidRPr="0032126E" w14:paraId="61F52EB4" w14:textId="77777777" w:rsidTr="0032126E">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04B2FF34"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TOTAL</w:t>
            </w:r>
          </w:p>
        </w:tc>
      </w:tr>
      <w:tr w:rsidR="0032126E" w:rsidRPr="0032126E" w14:paraId="2105C638" w14:textId="77777777" w:rsidTr="0032126E">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0D8DCE" w14:textId="77777777" w:rsidR="0032126E" w:rsidRPr="0032126E" w:rsidRDefault="0032126E" w:rsidP="0032126E">
            <w:pPr>
              <w:jc w:val="center"/>
              <w:rPr>
                <w:rFonts w:ascii="Calibri" w:hAnsi="Calibri" w:cs="Calibri"/>
                <w:color w:val="000000"/>
              </w:rPr>
            </w:pPr>
            <w:r w:rsidRPr="0032126E">
              <w:rPr>
                <w:rFonts w:ascii="Calibri" w:hAnsi="Calibri" w:cs="Calibri"/>
                <w:color w:val="000000"/>
              </w:rPr>
              <w:t>315</w:t>
            </w:r>
          </w:p>
        </w:tc>
      </w:tr>
    </w:tbl>
    <w:p w14:paraId="56A92EFF" w14:textId="77777777" w:rsidR="0032126E" w:rsidRDefault="0032126E"/>
    <w:p w14:paraId="58E7992D" w14:textId="7F96A1A6" w:rsidR="0032126E" w:rsidRDefault="0032126E" w:rsidP="0032126E">
      <w:pPr>
        <w:jc w:val="both"/>
        <w:rPr>
          <w:rFonts w:ascii="Roboto" w:hAnsi="Roboto"/>
          <w:color w:val="2E2E2E"/>
          <w:shd w:val="clear" w:color="auto" w:fill="FFFFFF"/>
        </w:rPr>
      </w:pPr>
      <w:r>
        <w:rPr>
          <w:rFonts w:ascii="Roboto" w:hAnsi="Roboto"/>
          <w:color w:val="2E2E2E"/>
          <w:shd w:val="clear" w:color="auto" w:fill="FFFFFF"/>
        </w:rPr>
        <w:lastRenderedPageBreak/>
        <w:t>IBSA 2022 Testing Pool (TP) included as well both genders athletes who were tested out of competition and IBSA Antidoping Committee works in tight cooperation with the different IBSA Sports Committees to update the Registered Testing Pool (RTP) for the year 2023.</w:t>
      </w:r>
    </w:p>
    <w:p w14:paraId="0E0E2ACA" w14:textId="77777777" w:rsidR="0032126E" w:rsidRDefault="0032126E" w:rsidP="0032126E">
      <w:pPr>
        <w:jc w:val="both"/>
        <w:rPr>
          <w:rFonts w:ascii="Roboto" w:hAnsi="Roboto"/>
          <w:color w:val="2E2E2E"/>
          <w:shd w:val="clear" w:color="auto" w:fill="FFFFFF"/>
        </w:rPr>
      </w:pPr>
    </w:p>
    <w:p w14:paraId="0EF19B8E" w14:textId="77777777" w:rsidR="0032126E" w:rsidRPr="0032126E" w:rsidRDefault="0032126E" w:rsidP="0032126E">
      <w:pPr>
        <w:spacing w:before="100" w:beforeAutospacing="1" w:after="100" w:afterAutospacing="1"/>
        <w:rPr>
          <w:rFonts w:ascii="Roboto" w:hAnsi="Roboto"/>
          <w:color w:val="2E2E2E"/>
        </w:rPr>
      </w:pPr>
      <w:r w:rsidRPr="0032126E">
        <w:rPr>
          <w:rFonts w:ascii="Roboto" w:hAnsi="Roboto"/>
          <w:i/>
          <w:iCs/>
          <w:color w:val="2E2E2E"/>
          <w:u w:val="single"/>
        </w:rPr>
        <w:t>Testing per Analysis</w:t>
      </w:r>
    </w:p>
    <w:p w14:paraId="65E9578C" w14:textId="2C87315B" w:rsidR="0032126E" w:rsidRPr="0032126E" w:rsidRDefault="0032126E" w:rsidP="0032126E">
      <w:pPr>
        <w:spacing w:before="100" w:beforeAutospacing="1" w:after="100" w:afterAutospacing="1"/>
        <w:jc w:val="both"/>
        <w:rPr>
          <w:rFonts w:ascii="Roboto" w:hAnsi="Roboto"/>
          <w:color w:val="2E2E2E"/>
          <w:lang w:val="en-US"/>
        </w:rPr>
      </w:pPr>
      <w:r w:rsidRPr="0032126E">
        <w:rPr>
          <w:rFonts w:ascii="Roboto" w:hAnsi="Roboto"/>
          <w:color w:val="2E2E2E"/>
        </w:rPr>
        <w:t>During 202</w:t>
      </w:r>
      <w:r w:rsidRPr="0032126E">
        <w:rPr>
          <w:rFonts w:ascii="Roboto" w:hAnsi="Roboto"/>
          <w:color w:val="2E2E2E"/>
          <w:lang w:val="en-US"/>
        </w:rPr>
        <w:t>3</w:t>
      </w:r>
      <w:r w:rsidRPr="0032126E">
        <w:rPr>
          <w:rFonts w:ascii="Roboto" w:hAnsi="Roboto"/>
          <w:color w:val="2E2E2E"/>
        </w:rPr>
        <w:t xml:space="preserve">, IBSA samples were urine at </w:t>
      </w:r>
      <w:r>
        <w:rPr>
          <w:rFonts w:ascii="Roboto" w:hAnsi="Roboto"/>
          <w:color w:val="2E2E2E"/>
          <w:lang w:val="en-US"/>
        </w:rPr>
        <w:t>88</w:t>
      </w:r>
      <w:r w:rsidRPr="0032126E">
        <w:rPr>
          <w:rFonts w:ascii="Roboto" w:hAnsi="Roboto"/>
          <w:color w:val="2E2E2E"/>
        </w:rPr>
        <w:t xml:space="preserve">% – </w:t>
      </w:r>
      <w:r w:rsidRPr="0032126E">
        <w:rPr>
          <w:rFonts w:ascii="Roboto" w:hAnsi="Roboto"/>
          <w:color w:val="2E2E2E"/>
          <w:lang w:val="en-US"/>
        </w:rPr>
        <w:t>and 12</w:t>
      </w:r>
      <w:r>
        <w:rPr>
          <w:rFonts w:ascii="Roboto" w:hAnsi="Roboto"/>
          <w:color w:val="2E2E2E"/>
          <w:lang w:val="en-US"/>
        </w:rPr>
        <w:t>%</w:t>
      </w:r>
      <w:r w:rsidRPr="0032126E">
        <w:rPr>
          <w:rFonts w:ascii="Roboto" w:hAnsi="Roboto"/>
          <w:color w:val="2E2E2E"/>
        </w:rPr>
        <w:t xml:space="preserve"> </w:t>
      </w:r>
      <w:r w:rsidRPr="0032126E">
        <w:rPr>
          <w:rFonts w:ascii="Roboto" w:hAnsi="Roboto"/>
          <w:color w:val="2E2E2E"/>
          <w:lang w:val="en-US"/>
        </w:rPr>
        <w:t>of</w:t>
      </w:r>
      <w:r w:rsidRPr="0032126E">
        <w:rPr>
          <w:rFonts w:ascii="Roboto" w:hAnsi="Roboto"/>
          <w:color w:val="2E2E2E"/>
        </w:rPr>
        <w:t xml:space="preserve"> blood samples were collected under IBSA Testing Authority.</w:t>
      </w:r>
      <w:r w:rsidRPr="0032126E">
        <w:rPr>
          <w:rFonts w:ascii="Roboto" w:hAnsi="Roboto"/>
          <w:color w:val="2E2E2E"/>
          <w:lang w:val="en-US"/>
        </w:rPr>
        <w:t xml:space="preserve"> We had a</w:t>
      </w:r>
      <w:r>
        <w:rPr>
          <w:rFonts w:ascii="Roboto" w:hAnsi="Roboto"/>
          <w:color w:val="2E2E2E"/>
          <w:lang w:val="en-US"/>
        </w:rPr>
        <w:t xml:space="preserve">n improvement of blood collection from 2 samples to 38 samples. </w:t>
      </w:r>
    </w:p>
    <w:p w14:paraId="43D08235" w14:textId="05877976" w:rsidR="0032126E" w:rsidRPr="0032126E" w:rsidRDefault="0032126E" w:rsidP="0032126E">
      <w:pPr>
        <w:spacing w:before="100" w:beforeAutospacing="1" w:after="100" w:afterAutospacing="1"/>
        <w:rPr>
          <w:rFonts w:ascii="Roboto" w:hAnsi="Roboto"/>
          <w:color w:val="2E2E2E"/>
          <w:lang w:val="en-US"/>
        </w:rPr>
      </w:pPr>
      <w:r w:rsidRPr="0032126E">
        <w:rPr>
          <w:rFonts w:ascii="Roboto" w:hAnsi="Roboto"/>
          <w:color w:val="2E2E2E"/>
        </w:rPr>
        <w:t xml:space="preserve">The </w:t>
      </w:r>
      <w:r w:rsidRPr="0032126E">
        <w:rPr>
          <w:rFonts w:ascii="Roboto" w:hAnsi="Roboto"/>
          <w:color w:val="2E2E2E"/>
          <w:lang w:val="en-US"/>
        </w:rPr>
        <w:t>31</w:t>
      </w:r>
      <w:r>
        <w:rPr>
          <w:rFonts w:ascii="Roboto" w:hAnsi="Roboto"/>
          <w:color w:val="2E2E2E"/>
          <w:lang w:val="en-US"/>
        </w:rPr>
        <w:t>5</w:t>
      </w:r>
      <w:r w:rsidRPr="0032126E">
        <w:rPr>
          <w:rFonts w:ascii="Roboto" w:hAnsi="Roboto"/>
          <w:color w:val="2E2E2E"/>
        </w:rPr>
        <w:t xml:space="preserve"> samples were subject to different antidoping analysis menus depending on</w:t>
      </w:r>
      <w:r w:rsidR="00EE69A9" w:rsidRPr="00EE69A9">
        <w:rPr>
          <w:rFonts w:ascii="Roboto" w:hAnsi="Roboto"/>
          <w:color w:val="2E2E2E"/>
          <w:lang w:val="en-US"/>
        </w:rPr>
        <w:t>:</w:t>
      </w:r>
    </w:p>
    <w:p w14:paraId="311FF7C2" w14:textId="77777777" w:rsidR="0032126E" w:rsidRPr="0032126E" w:rsidRDefault="0032126E" w:rsidP="00EE69A9">
      <w:pPr>
        <w:numPr>
          <w:ilvl w:val="0"/>
          <w:numId w:val="1"/>
        </w:numPr>
        <w:rPr>
          <w:rFonts w:ascii="Roboto" w:hAnsi="Roboto"/>
          <w:color w:val="2E2E2E"/>
        </w:rPr>
      </w:pPr>
      <w:r w:rsidRPr="0032126E">
        <w:rPr>
          <w:rFonts w:ascii="Roboto" w:hAnsi="Roboto"/>
          <w:color w:val="2E2E2E"/>
        </w:rPr>
        <w:t>type of test whether it is IN or OUT of competition</w:t>
      </w:r>
    </w:p>
    <w:p w14:paraId="32709269" w14:textId="77777777" w:rsidR="0032126E" w:rsidRPr="0032126E" w:rsidRDefault="0032126E" w:rsidP="00EE69A9">
      <w:pPr>
        <w:numPr>
          <w:ilvl w:val="0"/>
          <w:numId w:val="1"/>
        </w:numPr>
        <w:rPr>
          <w:rFonts w:ascii="Roboto" w:hAnsi="Roboto"/>
          <w:color w:val="2E2E2E"/>
        </w:rPr>
      </w:pPr>
      <w:r w:rsidRPr="0032126E">
        <w:rPr>
          <w:rFonts w:ascii="Roboto" w:hAnsi="Roboto"/>
          <w:color w:val="2E2E2E"/>
        </w:rPr>
        <w:t>type of sport discipline in compliance with the TDSSA (Technical Document for Sport Specific Analysis)</w:t>
      </w:r>
    </w:p>
    <w:p w14:paraId="300E0C56" w14:textId="77777777" w:rsidR="0032126E" w:rsidRDefault="0032126E" w:rsidP="0032126E">
      <w:pPr>
        <w:jc w:val="both"/>
      </w:pPr>
    </w:p>
    <w:tbl>
      <w:tblPr>
        <w:tblW w:w="4480" w:type="dxa"/>
        <w:jc w:val="center"/>
        <w:tblCellMar>
          <w:left w:w="70" w:type="dxa"/>
          <w:right w:w="70" w:type="dxa"/>
        </w:tblCellMar>
        <w:tblLook w:val="04A0" w:firstRow="1" w:lastRow="0" w:firstColumn="1" w:lastColumn="0" w:noHBand="0" w:noVBand="1"/>
      </w:tblPr>
      <w:tblGrid>
        <w:gridCol w:w="2263"/>
        <w:gridCol w:w="2217"/>
      </w:tblGrid>
      <w:tr w:rsidR="0032126E" w:rsidRPr="0032126E" w14:paraId="5769FAB5" w14:textId="77777777" w:rsidTr="00C21718">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670FB6B"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 xml:space="preserve">Doping Control - Statistics </w:t>
            </w:r>
          </w:p>
        </w:tc>
      </w:tr>
      <w:tr w:rsidR="0032126E" w:rsidRPr="0032126E" w14:paraId="4D88D657" w14:textId="77777777" w:rsidTr="00C21718">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CC7F"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Moment</w:t>
            </w:r>
          </w:p>
        </w:tc>
      </w:tr>
      <w:tr w:rsidR="0032126E" w:rsidRPr="0032126E" w14:paraId="1CA1C639" w14:textId="77777777" w:rsidTr="00C21718">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9395E9"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In-Competition</w:t>
            </w:r>
          </w:p>
        </w:tc>
        <w:tc>
          <w:tcPr>
            <w:tcW w:w="2217" w:type="dxa"/>
            <w:tcBorders>
              <w:top w:val="nil"/>
              <w:left w:val="nil"/>
              <w:bottom w:val="single" w:sz="4" w:space="0" w:color="auto"/>
              <w:right w:val="single" w:sz="4" w:space="0" w:color="auto"/>
            </w:tcBorders>
            <w:shd w:val="clear" w:color="auto" w:fill="auto"/>
            <w:noWrap/>
            <w:vAlign w:val="bottom"/>
            <w:hideMark/>
          </w:tcPr>
          <w:p w14:paraId="59EAB800"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Out-of- Competition</w:t>
            </w:r>
          </w:p>
        </w:tc>
      </w:tr>
      <w:tr w:rsidR="0032126E" w:rsidRPr="0032126E" w14:paraId="618FE3F3" w14:textId="77777777" w:rsidTr="00C21718">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53E339B"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246</w:t>
            </w:r>
          </w:p>
        </w:tc>
        <w:tc>
          <w:tcPr>
            <w:tcW w:w="2217" w:type="dxa"/>
            <w:tcBorders>
              <w:top w:val="nil"/>
              <w:left w:val="nil"/>
              <w:bottom w:val="single" w:sz="4" w:space="0" w:color="auto"/>
              <w:right w:val="single" w:sz="4" w:space="0" w:color="auto"/>
            </w:tcBorders>
            <w:shd w:val="clear" w:color="auto" w:fill="auto"/>
            <w:noWrap/>
            <w:vAlign w:val="bottom"/>
            <w:hideMark/>
          </w:tcPr>
          <w:p w14:paraId="3E4E6BF1"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69</w:t>
            </w:r>
          </w:p>
        </w:tc>
      </w:tr>
      <w:tr w:rsidR="0032126E" w:rsidRPr="0032126E" w14:paraId="4E79AD15" w14:textId="77777777" w:rsidTr="00C21718">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E102BF6" w14:textId="3E69A3F9" w:rsidR="0032126E" w:rsidRPr="0032126E" w:rsidRDefault="0032126E" w:rsidP="00C21718">
            <w:pPr>
              <w:jc w:val="center"/>
              <w:rPr>
                <w:rFonts w:ascii="Calibri" w:hAnsi="Calibri" w:cs="Calibri"/>
                <w:i/>
                <w:iCs/>
                <w:color w:val="000000"/>
                <w:lang w:val="pt-BR"/>
              </w:rPr>
            </w:pPr>
            <w:r w:rsidRPr="0032126E">
              <w:rPr>
                <w:rFonts w:ascii="Calibri" w:hAnsi="Calibri" w:cs="Calibri"/>
                <w:i/>
                <w:iCs/>
                <w:color w:val="000000"/>
                <w:lang w:val="pt-BR"/>
              </w:rPr>
              <w:t>79%</w:t>
            </w:r>
          </w:p>
        </w:tc>
        <w:tc>
          <w:tcPr>
            <w:tcW w:w="2217" w:type="dxa"/>
            <w:tcBorders>
              <w:top w:val="nil"/>
              <w:left w:val="nil"/>
              <w:bottom w:val="single" w:sz="4" w:space="0" w:color="auto"/>
              <w:right w:val="single" w:sz="4" w:space="0" w:color="auto"/>
            </w:tcBorders>
            <w:shd w:val="clear" w:color="auto" w:fill="auto"/>
            <w:noWrap/>
            <w:vAlign w:val="bottom"/>
          </w:tcPr>
          <w:p w14:paraId="7D7361BE" w14:textId="3AA14BE3" w:rsidR="0032126E" w:rsidRPr="0032126E" w:rsidRDefault="0032126E" w:rsidP="00C21718">
            <w:pPr>
              <w:jc w:val="center"/>
              <w:rPr>
                <w:rFonts w:ascii="Calibri" w:hAnsi="Calibri" w:cs="Calibri"/>
                <w:i/>
                <w:iCs/>
                <w:color w:val="000000"/>
                <w:lang w:val="pt-BR"/>
              </w:rPr>
            </w:pPr>
            <w:r w:rsidRPr="0032126E">
              <w:rPr>
                <w:rFonts w:ascii="Calibri" w:hAnsi="Calibri" w:cs="Calibri"/>
                <w:i/>
                <w:iCs/>
                <w:color w:val="000000"/>
                <w:lang w:val="pt-BR"/>
              </w:rPr>
              <w:t>21%</w:t>
            </w:r>
          </w:p>
        </w:tc>
      </w:tr>
      <w:tr w:rsidR="0032126E" w:rsidRPr="0032126E" w14:paraId="0170939B" w14:textId="77777777" w:rsidTr="00C21718">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828D497"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TOTAL</w:t>
            </w:r>
          </w:p>
        </w:tc>
      </w:tr>
      <w:tr w:rsidR="0032126E" w:rsidRPr="0032126E" w14:paraId="343CD821" w14:textId="77777777" w:rsidTr="00C21718">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B4041"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315</w:t>
            </w:r>
          </w:p>
        </w:tc>
      </w:tr>
    </w:tbl>
    <w:p w14:paraId="24748DCF" w14:textId="77777777" w:rsidR="0032126E" w:rsidRDefault="0032126E" w:rsidP="0032126E">
      <w:pPr>
        <w:jc w:val="both"/>
      </w:pPr>
    </w:p>
    <w:tbl>
      <w:tblPr>
        <w:tblW w:w="4480" w:type="dxa"/>
        <w:jc w:val="center"/>
        <w:tblCellMar>
          <w:left w:w="70" w:type="dxa"/>
          <w:right w:w="70" w:type="dxa"/>
        </w:tblCellMar>
        <w:tblLook w:val="04A0" w:firstRow="1" w:lastRow="0" w:firstColumn="1" w:lastColumn="0" w:noHBand="0" w:noVBand="1"/>
      </w:tblPr>
      <w:tblGrid>
        <w:gridCol w:w="2290"/>
        <w:gridCol w:w="2190"/>
      </w:tblGrid>
      <w:tr w:rsidR="0032126E" w:rsidRPr="0032126E" w14:paraId="4BA49E2A" w14:textId="77777777" w:rsidTr="00C21718">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86C3E73"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 xml:space="preserve">Doping Control - Statistics </w:t>
            </w:r>
          </w:p>
        </w:tc>
      </w:tr>
      <w:tr w:rsidR="0032126E" w:rsidRPr="0032126E" w14:paraId="17327237" w14:textId="77777777" w:rsidTr="00C21718">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89AD"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Type of Sample</w:t>
            </w:r>
          </w:p>
        </w:tc>
      </w:tr>
      <w:tr w:rsidR="0032126E" w:rsidRPr="0032126E" w14:paraId="4800F119" w14:textId="77777777" w:rsidTr="00C21718">
        <w:trPr>
          <w:trHeight w:val="32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5545C96"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Blood</w:t>
            </w:r>
          </w:p>
        </w:tc>
        <w:tc>
          <w:tcPr>
            <w:tcW w:w="2190" w:type="dxa"/>
            <w:tcBorders>
              <w:top w:val="nil"/>
              <w:left w:val="nil"/>
              <w:bottom w:val="single" w:sz="4" w:space="0" w:color="auto"/>
              <w:right w:val="single" w:sz="4" w:space="0" w:color="auto"/>
            </w:tcBorders>
            <w:shd w:val="clear" w:color="auto" w:fill="auto"/>
            <w:noWrap/>
            <w:vAlign w:val="bottom"/>
            <w:hideMark/>
          </w:tcPr>
          <w:p w14:paraId="1070873D"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Urine</w:t>
            </w:r>
          </w:p>
        </w:tc>
      </w:tr>
      <w:tr w:rsidR="0032126E" w:rsidRPr="0032126E" w14:paraId="5C2277EB" w14:textId="77777777" w:rsidTr="00C21718">
        <w:trPr>
          <w:trHeight w:val="32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72E1FED"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38</w:t>
            </w:r>
          </w:p>
        </w:tc>
        <w:tc>
          <w:tcPr>
            <w:tcW w:w="2190" w:type="dxa"/>
            <w:tcBorders>
              <w:top w:val="nil"/>
              <w:left w:val="nil"/>
              <w:bottom w:val="single" w:sz="4" w:space="0" w:color="auto"/>
              <w:right w:val="single" w:sz="4" w:space="0" w:color="auto"/>
            </w:tcBorders>
            <w:shd w:val="clear" w:color="auto" w:fill="auto"/>
            <w:noWrap/>
            <w:vAlign w:val="bottom"/>
            <w:hideMark/>
          </w:tcPr>
          <w:p w14:paraId="6F8BAAC0"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277</w:t>
            </w:r>
          </w:p>
        </w:tc>
      </w:tr>
      <w:tr w:rsidR="0032126E" w:rsidRPr="0032126E" w14:paraId="6CCF8EE0" w14:textId="77777777" w:rsidTr="00C21718">
        <w:trPr>
          <w:trHeight w:val="320"/>
          <w:jc w:val="center"/>
        </w:trPr>
        <w:tc>
          <w:tcPr>
            <w:tcW w:w="2290" w:type="dxa"/>
            <w:tcBorders>
              <w:top w:val="nil"/>
              <w:left w:val="single" w:sz="4" w:space="0" w:color="auto"/>
              <w:bottom w:val="single" w:sz="4" w:space="0" w:color="auto"/>
              <w:right w:val="single" w:sz="4" w:space="0" w:color="auto"/>
            </w:tcBorders>
            <w:shd w:val="clear" w:color="auto" w:fill="auto"/>
            <w:noWrap/>
            <w:vAlign w:val="bottom"/>
          </w:tcPr>
          <w:p w14:paraId="5AB3D308" w14:textId="0557A1E9" w:rsidR="0032126E" w:rsidRPr="0032126E" w:rsidRDefault="0032126E" w:rsidP="00C21718">
            <w:pPr>
              <w:jc w:val="center"/>
              <w:rPr>
                <w:rFonts w:ascii="Calibri" w:hAnsi="Calibri" w:cs="Calibri"/>
                <w:i/>
                <w:iCs/>
                <w:color w:val="000000"/>
                <w:lang w:val="pt-BR"/>
              </w:rPr>
            </w:pPr>
            <w:r w:rsidRPr="0032126E">
              <w:rPr>
                <w:rFonts w:ascii="Calibri" w:hAnsi="Calibri" w:cs="Calibri"/>
                <w:i/>
                <w:iCs/>
                <w:color w:val="000000"/>
                <w:lang w:val="pt-BR"/>
              </w:rPr>
              <w:t>12%</w:t>
            </w:r>
          </w:p>
        </w:tc>
        <w:tc>
          <w:tcPr>
            <w:tcW w:w="2190" w:type="dxa"/>
            <w:tcBorders>
              <w:top w:val="nil"/>
              <w:left w:val="nil"/>
              <w:bottom w:val="single" w:sz="4" w:space="0" w:color="auto"/>
              <w:right w:val="single" w:sz="4" w:space="0" w:color="auto"/>
            </w:tcBorders>
            <w:shd w:val="clear" w:color="auto" w:fill="auto"/>
            <w:noWrap/>
            <w:vAlign w:val="bottom"/>
          </w:tcPr>
          <w:p w14:paraId="3FB3B911" w14:textId="41918CB5" w:rsidR="0032126E" w:rsidRPr="0032126E" w:rsidRDefault="0032126E" w:rsidP="00C21718">
            <w:pPr>
              <w:jc w:val="center"/>
              <w:rPr>
                <w:rFonts w:ascii="Calibri" w:hAnsi="Calibri" w:cs="Calibri"/>
                <w:i/>
                <w:iCs/>
                <w:color w:val="000000"/>
                <w:lang w:val="pt-BR"/>
              </w:rPr>
            </w:pPr>
            <w:r w:rsidRPr="0032126E">
              <w:rPr>
                <w:rFonts w:ascii="Calibri" w:hAnsi="Calibri" w:cs="Calibri"/>
                <w:i/>
                <w:iCs/>
                <w:color w:val="000000"/>
                <w:lang w:val="pt-BR"/>
              </w:rPr>
              <w:t>88%</w:t>
            </w:r>
          </w:p>
        </w:tc>
      </w:tr>
      <w:tr w:rsidR="0032126E" w:rsidRPr="0032126E" w14:paraId="2F82CAB9" w14:textId="77777777" w:rsidTr="00C21718">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15F4910"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TOTAL</w:t>
            </w:r>
          </w:p>
        </w:tc>
      </w:tr>
      <w:tr w:rsidR="0032126E" w:rsidRPr="0032126E" w14:paraId="0E90C024" w14:textId="77777777" w:rsidTr="00C21718">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E1DD" w14:textId="77777777" w:rsidR="0032126E" w:rsidRPr="0032126E" w:rsidRDefault="0032126E" w:rsidP="00C21718">
            <w:pPr>
              <w:jc w:val="center"/>
              <w:rPr>
                <w:rFonts w:ascii="Calibri" w:hAnsi="Calibri" w:cs="Calibri"/>
                <w:color w:val="000000"/>
              </w:rPr>
            </w:pPr>
            <w:r w:rsidRPr="0032126E">
              <w:rPr>
                <w:rFonts w:ascii="Calibri" w:hAnsi="Calibri" w:cs="Calibri"/>
                <w:color w:val="000000"/>
              </w:rPr>
              <w:t>315</w:t>
            </w:r>
          </w:p>
        </w:tc>
      </w:tr>
    </w:tbl>
    <w:p w14:paraId="3BAF8ACA" w14:textId="77777777" w:rsidR="0032126E" w:rsidRDefault="0032126E" w:rsidP="0032126E">
      <w:pPr>
        <w:jc w:val="both"/>
      </w:pPr>
    </w:p>
    <w:p w14:paraId="5EDC8CF6" w14:textId="77777777" w:rsidR="00EE69A9" w:rsidRDefault="00EE69A9" w:rsidP="00EE69A9">
      <w:pPr>
        <w:pStyle w:val="NormalWeb"/>
        <w:jc w:val="both"/>
        <w:rPr>
          <w:rFonts w:ascii="Roboto" w:hAnsi="Roboto"/>
          <w:color w:val="2E2E2E"/>
        </w:rPr>
      </w:pPr>
      <w:r>
        <w:rPr>
          <w:rFonts w:ascii="Roboto" w:hAnsi="Roboto"/>
          <w:color w:val="2E2E2E"/>
        </w:rPr>
        <w:t>With joint efforts of many stakeholders including not only IBSA but also the National Anti-Doping Organizations (NADOs) and the Local Organizing Committees (LOCs), IBSA samples met almost in all planned sports the MLA (Minimum Level for Analysis) in regard with the compulsory Specific Analysis on urine mainly ERAs (Erythropoietin Recombinant Agents) and GHRFs (Growth Hormone Releasing Factors).</w:t>
      </w:r>
    </w:p>
    <w:p w14:paraId="7F03DB72" w14:textId="77777777" w:rsidR="00EE69A9" w:rsidRDefault="00EE69A9" w:rsidP="00EE69A9">
      <w:pPr>
        <w:pStyle w:val="NormalWeb"/>
        <w:jc w:val="both"/>
        <w:rPr>
          <w:rStyle w:val="nfase"/>
          <w:rFonts w:ascii="Roboto" w:hAnsi="Roboto"/>
          <w:color w:val="2E2E2E"/>
          <w:u w:val="single"/>
        </w:rPr>
      </w:pPr>
    </w:p>
    <w:p w14:paraId="4E18924F" w14:textId="079BCC93" w:rsidR="00EE69A9" w:rsidRDefault="00EE69A9" w:rsidP="00EE69A9">
      <w:pPr>
        <w:pStyle w:val="NormalWeb"/>
        <w:jc w:val="both"/>
        <w:rPr>
          <w:rFonts w:ascii="Roboto" w:hAnsi="Roboto"/>
          <w:color w:val="2E2E2E"/>
        </w:rPr>
      </w:pPr>
      <w:r>
        <w:rPr>
          <w:rStyle w:val="nfase"/>
          <w:rFonts w:ascii="Roboto" w:hAnsi="Roboto"/>
          <w:color w:val="2E2E2E"/>
          <w:u w:val="single"/>
        </w:rPr>
        <w:t>Testing via Cooperation</w:t>
      </w:r>
      <w:r>
        <w:rPr>
          <w:rStyle w:val="apple-converted-space"/>
          <w:rFonts w:ascii="Roboto" w:hAnsi="Roboto"/>
          <w:i/>
          <w:iCs/>
          <w:color w:val="2E2E2E"/>
          <w:u w:val="single"/>
        </w:rPr>
        <w:t> </w:t>
      </w:r>
    </w:p>
    <w:p w14:paraId="1FB1B6F2" w14:textId="1F09823D" w:rsidR="00EE69A9" w:rsidRDefault="00EE69A9" w:rsidP="00EE69A9">
      <w:pPr>
        <w:pStyle w:val="NormalWeb"/>
        <w:jc w:val="both"/>
        <w:rPr>
          <w:rFonts w:ascii="Roboto" w:hAnsi="Roboto"/>
          <w:color w:val="2E2E2E"/>
        </w:rPr>
      </w:pPr>
      <w:r>
        <w:rPr>
          <w:rFonts w:ascii="Roboto" w:hAnsi="Roboto"/>
          <w:color w:val="2E2E2E"/>
        </w:rPr>
        <w:t>IBSA 202</w:t>
      </w:r>
      <w:r w:rsidRPr="00EE69A9">
        <w:rPr>
          <w:rFonts w:ascii="Roboto" w:hAnsi="Roboto"/>
          <w:color w:val="2E2E2E"/>
          <w:lang w:val="en-US"/>
        </w:rPr>
        <w:t>3</w:t>
      </w:r>
      <w:r>
        <w:rPr>
          <w:rFonts w:ascii="Roboto" w:hAnsi="Roboto"/>
          <w:color w:val="2E2E2E"/>
        </w:rPr>
        <w:t xml:space="preserve"> samples were analyzed at 1</w:t>
      </w:r>
      <w:r w:rsidRPr="00EE69A9">
        <w:rPr>
          <w:rFonts w:ascii="Roboto" w:hAnsi="Roboto"/>
          <w:color w:val="2E2E2E"/>
          <w:lang w:val="en-US"/>
        </w:rPr>
        <w:t>5</w:t>
      </w:r>
      <w:r>
        <w:rPr>
          <w:rFonts w:ascii="Roboto" w:hAnsi="Roboto"/>
          <w:color w:val="2E2E2E"/>
        </w:rPr>
        <w:t xml:space="preserve"> different WADA-accredited laboratories to reveal </w:t>
      </w:r>
      <w:r w:rsidRPr="00EE69A9">
        <w:rPr>
          <w:rFonts w:ascii="Roboto" w:hAnsi="Roboto"/>
          <w:color w:val="2E2E2E"/>
          <w:lang w:val="en-US"/>
        </w:rPr>
        <w:t>11 Possible</w:t>
      </w:r>
      <w:r>
        <w:rPr>
          <w:rFonts w:ascii="Roboto" w:hAnsi="Roboto"/>
          <w:color w:val="2E2E2E"/>
        </w:rPr>
        <w:t xml:space="preserve"> Adverse Analytical Findings (AAFs) and </w:t>
      </w:r>
      <w:r w:rsidRPr="00EE69A9">
        <w:rPr>
          <w:rFonts w:ascii="Roboto" w:hAnsi="Roboto"/>
          <w:color w:val="2E2E2E"/>
          <w:lang w:val="en-US"/>
        </w:rPr>
        <w:t>1</w:t>
      </w:r>
      <w:r>
        <w:rPr>
          <w:rFonts w:ascii="Roboto" w:hAnsi="Roboto"/>
          <w:color w:val="2E2E2E"/>
        </w:rPr>
        <w:t xml:space="preserve"> Atypical Findings (ATFs) which results management is currently ongoing.</w:t>
      </w:r>
    </w:p>
    <w:p w14:paraId="7FC41802" w14:textId="720E1EDC" w:rsidR="00EE69A9" w:rsidRDefault="00EE69A9" w:rsidP="00EE69A9">
      <w:pPr>
        <w:pStyle w:val="NormalWeb"/>
        <w:jc w:val="both"/>
        <w:rPr>
          <w:rFonts w:ascii="Roboto" w:hAnsi="Roboto"/>
          <w:color w:val="2E2E2E"/>
        </w:rPr>
      </w:pPr>
      <w:r>
        <w:rPr>
          <w:rFonts w:ascii="Roboto" w:hAnsi="Roboto"/>
          <w:color w:val="2E2E2E"/>
        </w:rPr>
        <w:t>To achieve IBSA Testing Plan for 202</w:t>
      </w:r>
      <w:r w:rsidRPr="00EE69A9">
        <w:rPr>
          <w:rFonts w:ascii="Roboto" w:hAnsi="Roboto"/>
          <w:color w:val="2E2E2E"/>
          <w:lang w:val="en-US"/>
        </w:rPr>
        <w:t>3</w:t>
      </w:r>
      <w:r>
        <w:rPr>
          <w:rFonts w:ascii="Roboto" w:hAnsi="Roboto"/>
          <w:color w:val="2E2E2E"/>
        </w:rPr>
        <w:t>, IBSA relied on the services of 1</w:t>
      </w:r>
      <w:r w:rsidRPr="00EE69A9">
        <w:rPr>
          <w:rFonts w:ascii="Roboto" w:hAnsi="Roboto"/>
          <w:color w:val="2E2E2E"/>
          <w:lang w:val="en-US"/>
        </w:rPr>
        <w:t>5</w:t>
      </w:r>
      <w:r>
        <w:rPr>
          <w:rFonts w:ascii="Roboto" w:hAnsi="Roboto"/>
          <w:color w:val="2E2E2E"/>
        </w:rPr>
        <w:t xml:space="preserve"> National Anti-Doping Organizations (NADOs) from 4 continents in addition to 2 private service providers. IBSA Antidoping acknowledges the cooperation of the LOCs who made substantial efforts to meet the requested testing scale in competition.</w:t>
      </w:r>
    </w:p>
    <w:p w14:paraId="6C3BD5E4" w14:textId="77777777" w:rsidR="00EE69A9" w:rsidRDefault="00EE69A9" w:rsidP="00EE69A9">
      <w:pPr>
        <w:pStyle w:val="NormalWeb"/>
        <w:jc w:val="both"/>
        <w:rPr>
          <w:rFonts w:ascii="Roboto" w:hAnsi="Roboto"/>
          <w:color w:val="2E2E2E"/>
        </w:rPr>
      </w:pPr>
    </w:p>
    <w:p w14:paraId="67D0A6A3" w14:textId="095B93DF" w:rsidR="00EE69A9" w:rsidRDefault="00EE69A9" w:rsidP="00EE69A9">
      <w:pPr>
        <w:pStyle w:val="NormalWeb"/>
        <w:jc w:val="both"/>
        <w:rPr>
          <w:rStyle w:val="nfase"/>
          <w:rFonts w:ascii="Roboto" w:hAnsi="Roboto"/>
          <w:color w:val="2E2E2E"/>
          <w:u w:val="single"/>
        </w:rPr>
      </w:pPr>
      <w:r w:rsidRPr="00EE69A9">
        <w:rPr>
          <w:rStyle w:val="nfase"/>
          <w:rFonts w:ascii="Roboto" w:hAnsi="Roboto"/>
          <w:color w:val="2E2E2E"/>
          <w:u w:val="single"/>
        </w:rPr>
        <w:t>TUE in 202</w:t>
      </w:r>
      <w:r w:rsidRPr="00EE69A9">
        <w:rPr>
          <w:rStyle w:val="nfase"/>
          <w:rFonts w:ascii="Roboto" w:hAnsi="Roboto"/>
          <w:color w:val="2E2E2E"/>
          <w:u w:val="single"/>
        </w:rPr>
        <w:t>3</w:t>
      </w:r>
    </w:p>
    <w:p w14:paraId="68149183" w14:textId="160A2D19" w:rsidR="00EE69A9" w:rsidRDefault="00EE69A9" w:rsidP="00EE69A9">
      <w:pPr>
        <w:pStyle w:val="NormalWeb"/>
        <w:jc w:val="both"/>
        <w:rPr>
          <w:rFonts w:ascii="Roboto" w:hAnsi="Roboto"/>
          <w:color w:val="2E2E2E"/>
          <w:lang w:val="en-US"/>
        </w:rPr>
      </w:pPr>
      <w:r w:rsidRPr="00EE69A9">
        <w:rPr>
          <w:rFonts w:ascii="Roboto" w:hAnsi="Roboto"/>
          <w:color w:val="2E2E2E"/>
        </w:rPr>
        <w:t xml:space="preserve">On 2023 we had received the total of 26 requests of TUE, </w:t>
      </w:r>
      <w:r w:rsidRPr="00EE69A9">
        <w:rPr>
          <w:rFonts w:ascii="Roboto" w:hAnsi="Roboto"/>
          <w:color w:val="2E2E2E"/>
          <w:lang w:val="en-US"/>
        </w:rPr>
        <w:t xml:space="preserve">but </w:t>
      </w:r>
      <w:r>
        <w:rPr>
          <w:rFonts w:ascii="Roboto" w:hAnsi="Roboto"/>
          <w:color w:val="2E2E2E"/>
          <w:lang w:val="en-US"/>
        </w:rPr>
        <w:t xml:space="preserve">4 of them were not a prohibited substance so we didn’t process as TUE. We received with a balance between male and female athletes but not in perspective with the sports. </w:t>
      </w:r>
    </w:p>
    <w:p w14:paraId="43E50E24" w14:textId="77777777" w:rsidR="00EE69A9" w:rsidRPr="00EE69A9" w:rsidRDefault="00EE69A9" w:rsidP="00EE69A9">
      <w:pPr>
        <w:pStyle w:val="NormalWeb"/>
        <w:jc w:val="both"/>
        <w:rPr>
          <w:rStyle w:val="nfase"/>
          <w:rFonts w:ascii="Roboto" w:hAnsi="Roboto"/>
          <w:i w:val="0"/>
          <w:iCs w:val="0"/>
          <w:color w:val="2E2E2E"/>
          <w:lang w:val="en-US"/>
        </w:rPr>
      </w:pPr>
    </w:p>
    <w:tbl>
      <w:tblPr>
        <w:tblW w:w="4480" w:type="dxa"/>
        <w:jc w:val="center"/>
        <w:tblCellMar>
          <w:left w:w="70" w:type="dxa"/>
          <w:right w:w="70" w:type="dxa"/>
        </w:tblCellMar>
        <w:tblLook w:val="04A0" w:firstRow="1" w:lastRow="0" w:firstColumn="1" w:lastColumn="0" w:noHBand="0" w:noVBand="1"/>
      </w:tblPr>
      <w:tblGrid>
        <w:gridCol w:w="2263"/>
        <w:gridCol w:w="2217"/>
      </w:tblGrid>
      <w:tr w:rsidR="00EE69A9" w:rsidRPr="00EE69A9" w14:paraId="0C9C105A" w14:textId="77777777" w:rsidTr="00EE69A9">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4E0BC14"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 xml:space="preserve">TUE - Statistics </w:t>
            </w:r>
          </w:p>
        </w:tc>
      </w:tr>
      <w:tr w:rsidR="00EE69A9" w:rsidRPr="00EE69A9" w14:paraId="67C70A5B" w14:textId="77777777" w:rsidTr="00EE69A9">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C124D"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Gender</w:t>
            </w:r>
          </w:p>
        </w:tc>
      </w:tr>
      <w:tr w:rsidR="00EE69A9" w:rsidRPr="00EE69A9" w14:paraId="71DDBDEA"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9E544F6"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Female</w:t>
            </w:r>
          </w:p>
        </w:tc>
        <w:tc>
          <w:tcPr>
            <w:tcW w:w="2217" w:type="dxa"/>
            <w:tcBorders>
              <w:top w:val="nil"/>
              <w:left w:val="nil"/>
              <w:bottom w:val="single" w:sz="4" w:space="0" w:color="auto"/>
              <w:right w:val="single" w:sz="4" w:space="0" w:color="auto"/>
            </w:tcBorders>
            <w:shd w:val="clear" w:color="auto" w:fill="auto"/>
            <w:noWrap/>
            <w:vAlign w:val="bottom"/>
            <w:hideMark/>
          </w:tcPr>
          <w:p w14:paraId="4B936D87"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Male</w:t>
            </w:r>
          </w:p>
        </w:tc>
      </w:tr>
      <w:tr w:rsidR="00EE69A9" w:rsidRPr="00EE69A9" w14:paraId="6A6B3C67"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2CBAD19"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12</w:t>
            </w:r>
          </w:p>
        </w:tc>
        <w:tc>
          <w:tcPr>
            <w:tcW w:w="2217" w:type="dxa"/>
            <w:tcBorders>
              <w:top w:val="nil"/>
              <w:left w:val="nil"/>
              <w:bottom w:val="single" w:sz="4" w:space="0" w:color="auto"/>
              <w:right w:val="single" w:sz="4" w:space="0" w:color="auto"/>
            </w:tcBorders>
            <w:shd w:val="clear" w:color="auto" w:fill="auto"/>
            <w:noWrap/>
            <w:vAlign w:val="bottom"/>
            <w:hideMark/>
          </w:tcPr>
          <w:p w14:paraId="3ABC71EC"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10</w:t>
            </w:r>
          </w:p>
        </w:tc>
      </w:tr>
      <w:tr w:rsidR="00EE69A9" w:rsidRPr="00EE69A9" w14:paraId="2A5FD536" w14:textId="77777777" w:rsidTr="00EE69A9">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EF93B2C"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TOTAL</w:t>
            </w:r>
          </w:p>
        </w:tc>
      </w:tr>
      <w:tr w:rsidR="00EE69A9" w:rsidRPr="00EE69A9" w14:paraId="7BE2BC7C" w14:textId="77777777" w:rsidTr="00EE69A9">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445F"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22</w:t>
            </w:r>
          </w:p>
        </w:tc>
      </w:tr>
    </w:tbl>
    <w:p w14:paraId="28F1DA0F" w14:textId="77777777" w:rsidR="00EE69A9" w:rsidRDefault="00EE69A9" w:rsidP="00EE69A9">
      <w:pPr>
        <w:jc w:val="both"/>
      </w:pPr>
    </w:p>
    <w:p w14:paraId="326D4B6A" w14:textId="77777777" w:rsidR="00EE69A9" w:rsidRDefault="00EE69A9" w:rsidP="00EE69A9">
      <w:pPr>
        <w:jc w:val="both"/>
      </w:pPr>
    </w:p>
    <w:tbl>
      <w:tblPr>
        <w:tblW w:w="4480" w:type="dxa"/>
        <w:jc w:val="center"/>
        <w:tblCellMar>
          <w:left w:w="70" w:type="dxa"/>
          <w:right w:w="70" w:type="dxa"/>
        </w:tblCellMar>
        <w:tblLook w:val="04A0" w:firstRow="1" w:lastRow="0" w:firstColumn="1" w:lastColumn="0" w:noHBand="0" w:noVBand="1"/>
      </w:tblPr>
      <w:tblGrid>
        <w:gridCol w:w="2263"/>
        <w:gridCol w:w="2217"/>
      </w:tblGrid>
      <w:tr w:rsidR="00EE69A9" w:rsidRPr="00EE69A9" w14:paraId="27DAB389" w14:textId="77777777" w:rsidTr="00EE69A9">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F4DD46A"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 xml:space="preserve">TUE - Statistics </w:t>
            </w:r>
          </w:p>
        </w:tc>
      </w:tr>
      <w:tr w:rsidR="00EE69A9" w:rsidRPr="00EE69A9" w14:paraId="36F58C73" w14:textId="77777777" w:rsidTr="00EE69A9">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65E1F"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Status</w:t>
            </w:r>
          </w:p>
        </w:tc>
      </w:tr>
      <w:tr w:rsidR="00EE69A9" w:rsidRPr="00EE69A9" w14:paraId="6150B265"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519F2AB"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Approved</w:t>
            </w:r>
          </w:p>
        </w:tc>
        <w:tc>
          <w:tcPr>
            <w:tcW w:w="2217" w:type="dxa"/>
            <w:tcBorders>
              <w:top w:val="nil"/>
              <w:left w:val="nil"/>
              <w:bottom w:val="single" w:sz="4" w:space="0" w:color="auto"/>
              <w:right w:val="single" w:sz="4" w:space="0" w:color="auto"/>
            </w:tcBorders>
            <w:shd w:val="clear" w:color="auto" w:fill="auto"/>
            <w:noWrap/>
            <w:vAlign w:val="bottom"/>
            <w:hideMark/>
          </w:tcPr>
          <w:p w14:paraId="4F7F4A42"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Denied</w:t>
            </w:r>
          </w:p>
        </w:tc>
      </w:tr>
      <w:tr w:rsidR="00EE69A9" w:rsidRPr="00EE69A9" w14:paraId="70CC550A"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FD8C686"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22</w:t>
            </w:r>
          </w:p>
        </w:tc>
        <w:tc>
          <w:tcPr>
            <w:tcW w:w="2217" w:type="dxa"/>
            <w:tcBorders>
              <w:top w:val="nil"/>
              <w:left w:val="nil"/>
              <w:bottom w:val="single" w:sz="4" w:space="0" w:color="auto"/>
              <w:right w:val="single" w:sz="4" w:space="0" w:color="auto"/>
            </w:tcBorders>
            <w:shd w:val="clear" w:color="auto" w:fill="auto"/>
            <w:noWrap/>
            <w:vAlign w:val="bottom"/>
            <w:hideMark/>
          </w:tcPr>
          <w:p w14:paraId="6A44E9DB"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0</w:t>
            </w:r>
          </w:p>
        </w:tc>
      </w:tr>
      <w:tr w:rsidR="00EE69A9" w:rsidRPr="00EE69A9" w14:paraId="6CC2A02E" w14:textId="77777777" w:rsidTr="00EE69A9">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9E762B5"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TOTAL</w:t>
            </w:r>
          </w:p>
        </w:tc>
      </w:tr>
      <w:tr w:rsidR="00EE69A9" w:rsidRPr="00EE69A9" w14:paraId="562F24D9" w14:textId="77777777" w:rsidTr="00EE69A9">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EA2B"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22</w:t>
            </w:r>
          </w:p>
        </w:tc>
      </w:tr>
    </w:tbl>
    <w:p w14:paraId="72E6D66D" w14:textId="77777777" w:rsidR="00EE69A9" w:rsidRDefault="00EE69A9" w:rsidP="00EE69A9">
      <w:pPr>
        <w:jc w:val="both"/>
      </w:pPr>
    </w:p>
    <w:p w14:paraId="056FF7FA" w14:textId="77777777" w:rsidR="00EE69A9" w:rsidRDefault="00EE69A9" w:rsidP="00EE69A9">
      <w:pPr>
        <w:jc w:val="both"/>
      </w:pPr>
    </w:p>
    <w:p w14:paraId="01805511" w14:textId="77777777" w:rsidR="00EE69A9" w:rsidRDefault="00EE69A9" w:rsidP="00EE69A9">
      <w:pPr>
        <w:jc w:val="both"/>
      </w:pPr>
    </w:p>
    <w:p w14:paraId="08880FA0" w14:textId="77777777" w:rsidR="00EE69A9" w:rsidRDefault="00EE69A9" w:rsidP="00EE69A9">
      <w:pPr>
        <w:jc w:val="both"/>
      </w:pPr>
    </w:p>
    <w:tbl>
      <w:tblPr>
        <w:tblW w:w="6600" w:type="dxa"/>
        <w:jc w:val="center"/>
        <w:tblCellMar>
          <w:left w:w="70" w:type="dxa"/>
          <w:right w:w="70" w:type="dxa"/>
        </w:tblCellMar>
        <w:tblLook w:val="04A0" w:firstRow="1" w:lastRow="0" w:firstColumn="1" w:lastColumn="0" w:noHBand="0" w:noVBand="1"/>
      </w:tblPr>
      <w:tblGrid>
        <w:gridCol w:w="2122"/>
        <w:gridCol w:w="2268"/>
        <w:gridCol w:w="2210"/>
      </w:tblGrid>
      <w:tr w:rsidR="00EE69A9" w:rsidRPr="00EE69A9" w14:paraId="54B29706" w14:textId="77777777" w:rsidTr="00EE69A9">
        <w:trPr>
          <w:trHeight w:val="320"/>
          <w:jc w:val="center"/>
        </w:trPr>
        <w:tc>
          <w:tcPr>
            <w:tcW w:w="6600" w:type="dxa"/>
            <w:gridSpan w:val="3"/>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ED035F4"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lastRenderedPageBreak/>
              <w:t xml:space="preserve">TUE - Statistics </w:t>
            </w:r>
          </w:p>
        </w:tc>
      </w:tr>
      <w:tr w:rsidR="00EE69A9" w:rsidRPr="00EE69A9" w14:paraId="7D65134B" w14:textId="77777777" w:rsidTr="00EE69A9">
        <w:trPr>
          <w:trHeight w:val="320"/>
          <w:jc w:val="center"/>
        </w:trPr>
        <w:tc>
          <w:tcPr>
            <w:tcW w:w="66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58A2A9"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Sports</w:t>
            </w:r>
          </w:p>
        </w:tc>
      </w:tr>
      <w:tr w:rsidR="00EE69A9" w:rsidRPr="00EE69A9" w14:paraId="64A636FB" w14:textId="77777777" w:rsidTr="00937EBF">
        <w:trPr>
          <w:trHeight w:val="320"/>
          <w:jc w:val="center"/>
        </w:trPr>
        <w:tc>
          <w:tcPr>
            <w:tcW w:w="2122" w:type="dxa"/>
            <w:tcBorders>
              <w:top w:val="nil"/>
              <w:left w:val="single" w:sz="4" w:space="0" w:color="auto"/>
              <w:bottom w:val="single" w:sz="4" w:space="0" w:color="auto"/>
              <w:right w:val="single" w:sz="4" w:space="0" w:color="auto"/>
            </w:tcBorders>
            <w:shd w:val="clear" w:color="000000" w:fill="ACB9CA"/>
            <w:noWrap/>
            <w:vAlign w:val="bottom"/>
            <w:hideMark/>
          </w:tcPr>
          <w:p w14:paraId="29A225A6"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Bowling</w:t>
            </w:r>
          </w:p>
        </w:tc>
        <w:tc>
          <w:tcPr>
            <w:tcW w:w="2268" w:type="dxa"/>
            <w:tcBorders>
              <w:top w:val="nil"/>
              <w:left w:val="nil"/>
              <w:bottom w:val="single" w:sz="4" w:space="0" w:color="auto"/>
              <w:right w:val="single" w:sz="4" w:space="0" w:color="auto"/>
            </w:tcBorders>
            <w:shd w:val="clear" w:color="000000" w:fill="ACB9CA"/>
            <w:noWrap/>
            <w:vAlign w:val="bottom"/>
            <w:hideMark/>
          </w:tcPr>
          <w:p w14:paraId="4C8B1F74"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Football*</w:t>
            </w:r>
          </w:p>
        </w:tc>
        <w:tc>
          <w:tcPr>
            <w:tcW w:w="2210" w:type="dxa"/>
            <w:tcBorders>
              <w:top w:val="nil"/>
              <w:left w:val="nil"/>
              <w:bottom w:val="single" w:sz="4" w:space="0" w:color="auto"/>
              <w:right w:val="single" w:sz="4" w:space="0" w:color="auto"/>
            </w:tcBorders>
            <w:shd w:val="clear" w:color="000000" w:fill="ACB9CA"/>
            <w:noWrap/>
            <w:vAlign w:val="bottom"/>
            <w:hideMark/>
          </w:tcPr>
          <w:p w14:paraId="1042904B"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Goalball</w:t>
            </w:r>
          </w:p>
        </w:tc>
      </w:tr>
      <w:tr w:rsidR="00EE69A9" w:rsidRPr="00EE69A9" w14:paraId="1E0C36C4" w14:textId="77777777" w:rsidTr="00937EBF">
        <w:trPr>
          <w:trHeight w:val="32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7981BB1"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14:paraId="016B2D58"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3</w:t>
            </w:r>
          </w:p>
        </w:tc>
        <w:tc>
          <w:tcPr>
            <w:tcW w:w="2210" w:type="dxa"/>
            <w:tcBorders>
              <w:top w:val="nil"/>
              <w:left w:val="nil"/>
              <w:bottom w:val="single" w:sz="4" w:space="0" w:color="auto"/>
              <w:right w:val="single" w:sz="4" w:space="0" w:color="auto"/>
            </w:tcBorders>
            <w:shd w:val="clear" w:color="auto" w:fill="auto"/>
            <w:noWrap/>
            <w:vAlign w:val="bottom"/>
            <w:hideMark/>
          </w:tcPr>
          <w:p w14:paraId="07B74CDC"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7</w:t>
            </w:r>
          </w:p>
        </w:tc>
      </w:tr>
      <w:tr w:rsidR="00EE69A9" w:rsidRPr="00EE69A9" w14:paraId="439D661D" w14:textId="77777777" w:rsidTr="00937EBF">
        <w:trPr>
          <w:trHeight w:val="320"/>
          <w:jc w:val="center"/>
        </w:trPr>
        <w:tc>
          <w:tcPr>
            <w:tcW w:w="2122" w:type="dxa"/>
            <w:tcBorders>
              <w:top w:val="nil"/>
              <w:left w:val="single" w:sz="4" w:space="0" w:color="auto"/>
              <w:bottom w:val="single" w:sz="4" w:space="0" w:color="auto"/>
              <w:right w:val="single" w:sz="4" w:space="0" w:color="auto"/>
            </w:tcBorders>
            <w:shd w:val="clear" w:color="000000" w:fill="ACB9CA"/>
            <w:noWrap/>
            <w:vAlign w:val="bottom"/>
            <w:hideMark/>
          </w:tcPr>
          <w:p w14:paraId="559DCDF0"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Judo</w:t>
            </w:r>
          </w:p>
        </w:tc>
        <w:tc>
          <w:tcPr>
            <w:tcW w:w="2268" w:type="dxa"/>
            <w:tcBorders>
              <w:top w:val="nil"/>
              <w:left w:val="nil"/>
              <w:bottom w:val="single" w:sz="4" w:space="0" w:color="auto"/>
              <w:right w:val="single" w:sz="4" w:space="0" w:color="auto"/>
            </w:tcBorders>
            <w:shd w:val="clear" w:color="000000" w:fill="ACB9CA"/>
            <w:noWrap/>
            <w:vAlign w:val="bottom"/>
            <w:hideMark/>
          </w:tcPr>
          <w:p w14:paraId="21F25262"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Blind Tennis</w:t>
            </w:r>
          </w:p>
        </w:tc>
        <w:tc>
          <w:tcPr>
            <w:tcW w:w="2210" w:type="dxa"/>
            <w:tcBorders>
              <w:top w:val="nil"/>
              <w:left w:val="nil"/>
              <w:bottom w:val="single" w:sz="4" w:space="0" w:color="auto"/>
              <w:right w:val="single" w:sz="4" w:space="0" w:color="auto"/>
            </w:tcBorders>
            <w:shd w:val="clear" w:color="000000" w:fill="ACB9CA"/>
            <w:noWrap/>
            <w:vAlign w:val="bottom"/>
            <w:hideMark/>
          </w:tcPr>
          <w:p w14:paraId="684F41D5"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Showdown</w:t>
            </w:r>
          </w:p>
        </w:tc>
      </w:tr>
      <w:tr w:rsidR="00EE69A9" w:rsidRPr="00EE69A9" w14:paraId="2201C59B" w14:textId="77777777" w:rsidTr="00937EBF">
        <w:trPr>
          <w:trHeight w:val="32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863494B"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3</w:t>
            </w:r>
          </w:p>
        </w:tc>
        <w:tc>
          <w:tcPr>
            <w:tcW w:w="2268" w:type="dxa"/>
            <w:tcBorders>
              <w:top w:val="nil"/>
              <w:left w:val="nil"/>
              <w:bottom w:val="single" w:sz="4" w:space="0" w:color="auto"/>
              <w:right w:val="single" w:sz="4" w:space="0" w:color="auto"/>
            </w:tcBorders>
            <w:shd w:val="clear" w:color="auto" w:fill="auto"/>
            <w:noWrap/>
            <w:vAlign w:val="bottom"/>
            <w:hideMark/>
          </w:tcPr>
          <w:p w14:paraId="63FF8528"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1</w:t>
            </w:r>
          </w:p>
        </w:tc>
        <w:tc>
          <w:tcPr>
            <w:tcW w:w="2210" w:type="dxa"/>
            <w:tcBorders>
              <w:top w:val="nil"/>
              <w:left w:val="nil"/>
              <w:bottom w:val="single" w:sz="4" w:space="0" w:color="auto"/>
              <w:right w:val="single" w:sz="4" w:space="0" w:color="auto"/>
            </w:tcBorders>
            <w:shd w:val="clear" w:color="auto" w:fill="auto"/>
            <w:noWrap/>
            <w:vAlign w:val="bottom"/>
            <w:hideMark/>
          </w:tcPr>
          <w:p w14:paraId="5CA4313C"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2</w:t>
            </w:r>
          </w:p>
        </w:tc>
      </w:tr>
      <w:tr w:rsidR="00EE69A9" w:rsidRPr="00EE69A9" w14:paraId="1F3B7722" w14:textId="77777777" w:rsidTr="00937EBF">
        <w:trPr>
          <w:trHeight w:val="320"/>
          <w:jc w:val="center"/>
        </w:trPr>
        <w:tc>
          <w:tcPr>
            <w:tcW w:w="2122" w:type="dxa"/>
            <w:tcBorders>
              <w:top w:val="nil"/>
              <w:left w:val="single" w:sz="4" w:space="0" w:color="auto"/>
              <w:bottom w:val="single" w:sz="4" w:space="0" w:color="auto"/>
              <w:right w:val="single" w:sz="4" w:space="0" w:color="auto"/>
            </w:tcBorders>
            <w:shd w:val="clear" w:color="000000" w:fill="ACB9CA"/>
            <w:noWrap/>
            <w:vAlign w:val="bottom"/>
            <w:hideMark/>
          </w:tcPr>
          <w:p w14:paraId="390699FC"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Chess</w:t>
            </w:r>
          </w:p>
        </w:tc>
        <w:tc>
          <w:tcPr>
            <w:tcW w:w="2268" w:type="dxa"/>
            <w:tcBorders>
              <w:top w:val="nil"/>
              <w:left w:val="nil"/>
              <w:bottom w:val="single" w:sz="4" w:space="0" w:color="auto"/>
              <w:right w:val="single" w:sz="4" w:space="0" w:color="auto"/>
            </w:tcBorders>
            <w:shd w:val="clear" w:color="000000" w:fill="ACB9CA"/>
            <w:noWrap/>
            <w:vAlign w:val="bottom"/>
            <w:hideMark/>
          </w:tcPr>
          <w:p w14:paraId="4D4E27BF"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Others</w:t>
            </w:r>
          </w:p>
        </w:tc>
        <w:tc>
          <w:tcPr>
            <w:tcW w:w="2210" w:type="dxa"/>
            <w:tcBorders>
              <w:top w:val="nil"/>
              <w:left w:val="nil"/>
              <w:bottom w:val="single" w:sz="4" w:space="0" w:color="auto"/>
              <w:right w:val="single" w:sz="4" w:space="0" w:color="auto"/>
            </w:tcBorders>
            <w:shd w:val="clear" w:color="000000" w:fill="ACB9CA"/>
            <w:noWrap/>
            <w:vAlign w:val="bottom"/>
            <w:hideMark/>
          </w:tcPr>
          <w:p w14:paraId="4A57A400"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Powerlifting</w:t>
            </w:r>
          </w:p>
        </w:tc>
      </w:tr>
      <w:tr w:rsidR="00EE69A9" w:rsidRPr="00EE69A9" w14:paraId="0D52CDFC" w14:textId="77777777" w:rsidTr="00937EBF">
        <w:trPr>
          <w:trHeight w:val="32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75612BE"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1</w:t>
            </w:r>
          </w:p>
        </w:tc>
        <w:tc>
          <w:tcPr>
            <w:tcW w:w="2268" w:type="dxa"/>
            <w:tcBorders>
              <w:top w:val="nil"/>
              <w:left w:val="nil"/>
              <w:bottom w:val="single" w:sz="4" w:space="0" w:color="auto"/>
              <w:right w:val="single" w:sz="4" w:space="0" w:color="auto"/>
            </w:tcBorders>
            <w:shd w:val="clear" w:color="auto" w:fill="auto"/>
            <w:noWrap/>
            <w:vAlign w:val="bottom"/>
            <w:hideMark/>
          </w:tcPr>
          <w:p w14:paraId="4C19D020"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3</w:t>
            </w:r>
          </w:p>
        </w:tc>
        <w:tc>
          <w:tcPr>
            <w:tcW w:w="2210" w:type="dxa"/>
            <w:tcBorders>
              <w:top w:val="nil"/>
              <w:left w:val="nil"/>
              <w:bottom w:val="single" w:sz="4" w:space="0" w:color="auto"/>
              <w:right w:val="single" w:sz="4" w:space="0" w:color="auto"/>
            </w:tcBorders>
            <w:shd w:val="clear" w:color="auto" w:fill="auto"/>
            <w:noWrap/>
            <w:vAlign w:val="bottom"/>
            <w:hideMark/>
          </w:tcPr>
          <w:p w14:paraId="155231F2"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0</w:t>
            </w:r>
          </w:p>
        </w:tc>
      </w:tr>
      <w:tr w:rsidR="00EE69A9" w:rsidRPr="00EE69A9" w14:paraId="049F8566" w14:textId="77777777" w:rsidTr="00EE69A9">
        <w:trPr>
          <w:trHeight w:val="320"/>
          <w:jc w:val="center"/>
        </w:trPr>
        <w:tc>
          <w:tcPr>
            <w:tcW w:w="6600" w:type="dxa"/>
            <w:gridSpan w:val="3"/>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3CB4F172"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TOTAL</w:t>
            </w:r>
          </w:p>
        </w:tc>
      </w:tr>
      <w:tr w:rsidR="00EE69A9" w:rsidRPr="00EE69A9" w14:paraId="3CD68F92" w14:textId="77777777" w:rsidTr="00EE69A9">
        <w:trPr>
          <w:trHeight w:val="320"/>
          <w:jc w:val="center"/>
        </w:trPr>
        <w:tc>
          <w:tcPr>
            <w:tcW w:w="66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CD4B81" w14:textId="77777777" w:rsidR="00EE69A9" w:rsidRPr="00EE69A9" w:rsidRDefault="00EE69A9" w:rsidP="00EE69A9">
            <w:pPr>
              <w:jc w:val="center"/>
              <w:rPr>
                <w:rFonts w:ascii="Calibri" w:hAnsi="Calibri" w:cs="Calibri"/>
                <w:color w:val="000000"/>
              </w:rPr>
            </w:pPr>
            <w:r w:rsidRPr="00EE69A9">
              <w:rPr>
                <w:rFonts w:ascii="Calibri" w:hAnsi="Calibri" w:cs="Calibri"/>
                <w:color w:val="000000"/>
              </w:rPr>
              <w:t>22</w:t>
            </w:r>
          </w:p>
        </w:tc>
      </w:tr>
    </w:tbl>
    <w:p w14:paraId="27BFD00A" w14:textId="77777777" w:rsidR="00EE69A9" w:rsidRDefault="00EE69A9" w:rsidP="00EE69A9">
      <w:pPr>
        <w:jc w:val="both"/>
      </w:pPr>
    </w:p>
    <w:p w14:paraId="3DE22E83" w14:textId="3A33A8F3" w:rsidR="00EE69A9" w:rsidRDefault="00EE69A9" w:rsidP="00EE69A9">
      <w:pPr>
        <w:jc w:val="both"/>
        <w:rPr>
          <w:rFonts w:ascii="Roboto" w:hAnsi="Roboto"/>
          <w:color w:val="2E2E2E"/>
          <w:lang w:val="en-US"/>
        </w:rPr>
      </w:pPr>
      <w:r w:rsidRPr="00EE69A9">
        <w:rPr>
          <w:rFonts w:ascii="Roboto" w:hAnsi="Roboto"/>
          <w:color w:val="2E2E2E"/>
          <w:lang w:val="en-US"/>
        </w:rPr>
        <w:t xml:space="preserve">The majority of TUEs were for </w:t>
      </w:r>
      <w:r>
        <w:rPr>
          <w:rFonts w:ascii="Roboto" w:hAnsi="Roboto"/>
          <w:color w:val="2E2E2E"/>
          <w:lang w:val="en-US"/>
        </w:rPr>
        <w:t xml:space="preserve">“Acetazolamide” with 10 TUEs and “Insulin” with 4 </w:t>
      </w:r>
      <w:proofErr w:type="spellStart"/>
      <w:r>
        <w:rPr>
          <w:rFonts w:ascii="Roboto" w:hAnsi="Roboto"/>
          <w:color w:val="2E2E2E"/>
          <w:lang w:val="en-US"/>
        </w:rPr>
        <w:t>TUEs.</w:t>
      </w:r>
      <w:proofErr w:type="spellEnd"/>
    </w:p>
    <w:p w14:paraId="7A91A1F6" w14:textId="77777777" w:rsidR="00EE69A9" w:rsidRDefault="00EE69A9" w:rsidP="00EE69A9">
      <w:pPr>
        <w:jc w:val="both"/>
        <w:rPr>
          <w:rFonts w:ascii="Roboto" w:hAnsi="Roboto"/>
          <w:color w:val="2E2E2E"/>
          <w:lang w:val="en-US"/>
        </w:rPr>
      </w:pPr>
    </w:p>
    <w:p w14:paraId="7E6DA5B0" w14:textId="77777777" w:rsidR="00937EBF" w:rsidRDefault="00937EBF" w:rsidP="00EE69A9">
      <w:pPr>
        <w:jc w:val="both"/>
        <w:rPr>
          <w:rFonts w:ascii="Roboto" w:hAnsi="Roboto"/>
          <w:color w:val="2E2E2E"/>
          <w:lang w:val="en-US"/>
        </w:rPr>
      </w:pPr>
    </w:p>
    <w:p w14:paraId="4FE2E8EE" w14:textId="77777777" w:rsidR="00EE69A9" w:rsidRDefault="00EE69A9" w:rsidP="00EE69A9">
      <w:pPr>
        <w:jc w:val="both"/>
        <w:rPr>
          <w:rFonts w:ascii="Roboto" w:hAnsi="Roboto"/>
          <w:color w:val="2E2E2E"/>
          <w:lang w:val="en-US"/>
        </w:rPr>
      </w:pPr>
    </w:p>
    <w:p w14:paraId="068C8E77" w14:textId="3E42F47F" w:rsidR="00EE69A9" w:rsidRDefault="00EE69A9" w:rsidP="00EE69A9">
      <w:pPr>
        <w:jc w:val="both"/>
        <w:rPr>
          <w:rStyle w:val="nfase"/>
          <w:rFonts w:ascii="Roboto" w:hAnsi="Roboto"/>
          <w:color w:val="2E2E2E"/>
          <w:u w:val="single"/>
        </w:rPr>
      </w:pPr>
      <w:r w:rsidRPr="00EE69A9">
        <w:rPr>
          <w:rStyle w:val="nfase"/>
          <w:rFonts w:ascii="Roboto" w:hAnsi="Roboto"/>
          <w:color w:val="2E2E2E"/>
          <w:u w:val="single"/>
        </w:rPr>
        <w:t>AAF on 2022</w:t>
      </w:r>
    </w:p>
    <w:p w14:paraId="0473B92B" w14:textId="77777777" w:rsidR="00EE69A9" w:rsidRDefault="00EE69A9" w:rsidP="00EE69A9">
      <w:pPr>
        <w:jc w:val="both"/>
        <w:rPr>
          <w:rStyle w:val="nfase"/>
          <w:rFonts w:ascii="Roboto" w:hAnsi="Roboto"/>
          <w:color w:val="2E2E2E"/>
          <w:u w:val="single"/>
        </w:rPr>
      </w:pPr>
    </w:p>
    <w:p w14:paraId="40B762F1" w14:textId="032768BD" w:rsidR="00EE69A9" w:rsidRDefault="00EE69A9" w:rsidP="00EE69A9">
      <w:pPr>
        <w:jc w:val="both"/>
        <w:rPr>
          <w:rStyle w:val="nfase"/>
          <w:rFonts w:ascii="Roboto" w:hAnsi="Roboto"/>
          <w:i w:val="0"/>
          <w:iCs w:val="0"/>
          <w:color w:val="2E2E2E"/>
          <w:lang w:val="en-US"/>
        </w:rPr>
      </w:pPr>
      <w:r w:rsidRPr="00EE69A9">
        <w:rPr>
          <w:rStyle w:val="nfase"/>
          <w:rFonts w:ascii="Roboto" w:hAnsi="Roboto"/>
          <w:i w:val="0"/>
          <w:iCs w:val="0"/>
          <w:color w:val="2E2E2E"/>
          <w:lang w:val="en-US"/>
        </w:rPr>
        <w:t>All the possible AAFs are still</w:t>
      </w:r>
      <w:r>
        <w:rPr>
          <w:rStyle w:val="nfase"/>
          <w:rFonts w:ascii="Roboto" w:hAnsi="Roboto"/>
          <w:i w:val="0"/>
          <w:iCs w:val="0"/>
          <w:color w:val="2E2E2E"/>
          <w:lang w:val="en-US"/>
        </w:rPr>
        <w:t xml:space="preserve"> under analysis. </w:t>
      </w:r>
    </w:p>
    <w:p w14:paraId="035B5440" w14:textId="77777777" w:rsidR="00937EBF" w:rsidRDefault="00937EBF" w:rsidP="00EE69A9">
      <w:pPr>
        <w:jc w:val="both"/>
        <w:rPr>
          <w:rStyle w:val="nfase"/>
          <w:rFonts w:ascii="Roboto" w:hAnsi="Roboto"/>
          <w:i w:val="0"/>
          <w:iCs w:val="0"/>
          <w:color w:val="2E2E2E"/>
          <w:lang w:val="en-US"/>
        </w:rPr>
      </w:pPr>
    </w:p>
    <w:p w14:paraId="3748A0E7" w14:textId="77777777" w:rsidR="00EE69A9" w:rsidRDefault="00EE69A9" w:rsidP="00EE69A9">
      <w:pPr>
        <w:jc w:val="both"/>
        <w:rPr>
          <w:rStyle w:val="nfase"/>
          <w:rFonts w:ascii="Roboto" w:hAnsi="Roboto"/>
          <w:i w:val="0"/>
          <w:iCs w:val="0"/>
          <w:color w:val="2E2E2E"/>
          <w:lang w:val="en-US"/>
        </w:rPr>
      </w:pPr>
    </w:p>
    <w:tbl>
      <w:tblPr>
        <w:tblW w:w="4480" w:type="dxa"/>
        <w:jc w:val="center"/>
        <w:tblCellMar>
          <w:left w:w="70" w:type="dxa"/>
          <w:right w:w="70" w:type="dxa"/>
        </w:tblCellMar>
        <w:tblLook w:val="04A0" w:firstRow="1" w:lastRow="0" w:firstColumn="1" w:lastColumn="0" w:noHBand="0" w:noVBand="1"/>
      </w:tblPr>
      <w:tblGrid>
        <w:gridCol w:w="2263"/>
        <w:gridCol w:w="2217"/>
      </w:tblGrid>
      <w:tr w:rsidR="00937EBF" w14:paraId="235BD9BE" w14:textId="77777777" w:rsidTr="00937EBF">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0AACBDE" w14:textId="77777777" w:rsidR="00937EBF" w:rsidRDefault="00937EBF">
            <w:pPr>
              <w:jc w:val="center"/>
              <w:rPr>
                <w:rFonts w:ascii="Calibri" w:hAnsi="Calibri" w:cs="Calibri"/>
                <w:color w:val="000000"/>
              </w:rPr>
            </w:pPr>
            <w:r>
              <w:rPr>
                <w:rFonts w:ascii="Calibri" w:hAnsi="Calibri" w:cs="Calibri"/>
                <w:color w:val="000000"/>
              </w:rPr>
              <w:t xml:space="preserve">AAF - Statistics </w:t>
            </w:r>
          </w:p>
        </w:tc>
      </w:tr>
      <w:tr w:rsidR="00937EBF" w14:paraId="12FD0E7D" w14:textId="77777777" w:rsidTr="00937EBF">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D1C8D" w14:textId="77777777" w:rsidR="00937EBF" w:rsidRDefault="00937EBF">
            <w:pPr>
              <w:jc w:val="center"/>
              <w:rPr>
                <w:rFonts w:ascii="Calibri" w:hAnsi="Calibri" w:cs="Calibri"/>
                <w:color w:val="000000"/>
              </w:rPr>
            </w:pPr>
            <w:r>
              <w:rPr>
                <w:rFonts w:ascii="Calibri" w:hAnsi="Calibri" w:cs="Calibri"/>
                <w:color w:val="000000"/>
              </w:rPr>
              <w:t>Gender</w:t>
            </w:r>
          </w:p>
        </w:tc>
      </w:tr>
      <w:tr w:rsidR="00937EBF" w14:paraId="340CBC68"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1218CE8" w14:textId="77777777" w:rsidR="00937EBF" w:rsidRDefault="00937EBF">
            <w:pPr>
              <w:jc w:val="center"/>
              <w:rPr>
                <w:rFonts w:ascii="Calibri" w:hAnsi="Calibri" w:cs="Calibri"/>
                <w:color w:val="000000"/>
              </w:rPr>
            </w:pPr>
            <w:r>
              <w:rPr>
                <w:rFonts w:ascii="Calibri" w:hAnsi="Calibri" w:cs="Calibri"/>
                <w:color w:val="000000"/>
              </w:rPr>
              <w:t>Female</w:t>
            </w:r>
          </w:p>
        </w:tc>
        <w:tc>
          <w:tcPr>
            <w:tcW w:w="2217" w:type="dxa"/>
            <w:tcBorders>
              <w:top w:val="nil"/>
              <w:left w:val="nil"/>
              <w:bottom w:val="single" w:sz="4" w:space="0" w:color="auto"/>
              <w:right w:val="single" w:sz="4" w:space="0" w:color="auto"/>
            </w:tcBorders>
            <w:shd w:val="clear" w:color="auto" w:fill="auto"/>
            <w:noWrap/>
            <w:vAlign w:val="bottom"/>
            <w:hideMark/>
          </w:tcPr>
          <w:p w14:paraId="4F275C4C" w14:textId="77777777" w:rsidR="00937EBF" w:rsidRDefault="00937EBF">
            <w:pPr>
              <w:jc w:val="center"/>
              <w:rPr>
                <w:rFonts w:ascii="Calibri" w:hAnsi="Calibri" w:cs="Calibri"/>
                <w:color w:val="000000"/>
              </w:rPr>
            </w:pPr>
            <w:r>
              <w:rPr>
                <w:rFonts w:ascii="Calibri" w:hAnsi="Calibri" w:cs="Calibri"/>
                <w:color w:val="000000"/>
              </w:rPr>
              <w:t>Male</w:t>
            </w:r>
          </w:p>
        </w:tc>
      </w:tr>
      <w:tr w:rsidR="00937EBF" w14:paraId="0F02A626"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7A4B1BA" w14:textId="77777777" w:rsidR="00937EBF" w:rsidRDefault="00937EBF">
            <w:pPr>
              <w:jc w:val="center"/>
              <w:rPr>
                <w:rFonts w:ascii="Calibri" w:hAnsi="Calibri" w:cs="Calibri"/>
                <w:color w:val="000000"/>
              </w:rPr>
            </w:pPr>
            <w:r>
              <w:rPr>
                <w:rFonts w:ascii="Calibri" w:hAnsi="Calibri" w:cs="Calibri"/>
                <w:color w:val="000000"/>
              </w:rPr>
              <w:t>4</w:t>
            </w:r>
          </w:p>
        </w:tc>
        <w:tc>
          <w:tcPr>
            <w:tcW w:w="2217" w:type="dxa"/>
            <w:tcBorders>
              <w:top w:val="nil"/>
              <w:left w:val="nil"/>
              <w:bottom w:val="single" w:sz="4" w:space="0" w:color="auto"/>
              <w:right w:val="single" w:sz="4" w:space="0" w:color="auto"/>
            </w:tcBorders>
            <w:shd w:val="clear" w:color="auto" w:fill="auto"/>
            <w:noWrap/>
            <w:vAlign w:val="bottom"/>
            <w:hideMark/>
          </w:tcPr>
          <w:p w14:paraId="34432581" w14:textId="77777777" w:rsidR="00937EBF" w:rsidRDefault="00937EBF">
            <w:pPr>
              <w:jc w:val="center"/>
              <w:rPr>
                <w:rFonts w:ascii="Calibri" w:hAnsi="Calibri" w:cs="Calibri"/>
                <w:color w:val="000000"/>
              </w:rPr>
            </w:pPr>
            <w:r>
              <w:rPr>
                <w:rFonts w:ascii="Calibri" w:hAnsi="Calibri" w:cs="Calibri"/>
                <w:color w:val="000000"/>
              </w:rPr>
              <w:t>7</w:t>
            </w:r>
          </w:p>
        </w:tc>
      </w:tr>
      <w:tr w:rsidR="00937EBF" w14:paraId="45BF67CD" w14:textId="77777777" w:rsidTr="00937EBF">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3ACC2F0" w14:textId="77777777" w:rsidR="00937EBF" w:rsidRDefault="00937EBF">
            <w:pPr>
              <w:jc w:val="center"/>
              <w:rPr>
                <w:rFonts w:ascii="Calibri" w:hAnsi="Calibri" w:cs="Calibri"/>
                <w:color w:val="000000"/>
              </w:rPr>
            </w:pPr>
            <w:r>
              <w:rPr>
                <w:rFonts w:ascii="Calibri" w:hAnsi="Calibri" w:cs="Calibri"/>
                <w:color w:val="000000"/>
              </w:rPr>
              <w:t>TOTAL</w:t>
            </w:r>
          </w:p>
        </w:tc>
      </w:tr>
      <w:tr w:rsidR="00937EBF" w14:paraId="5A455641" w14:textId="77777777" w:rsidTr="00937EBF">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DEBA1" w14:textId="77777777" w:rsidR="00937EBF" w:rsidRDefault="00937EBF">
            <w:pPr>
              <w:jc w:val="center"/>
              <w:rPr>
                <w:rFonts w:ascii="Calibri" w:hAnsi="Calibri" w:cs="Calibri"/>
                <w:color w:val="000000"/>
              </w:rPr>
            </w:pPr>
            <w:r>
              <w:rPr>
                <w:rFonts w:ascii="Calibri" w:hAnsi="Calibri" w:cs="Calibri"/>
                <w:color w:val="000000"/>
              </w:rPr>
              <w:t>11</w:t>
            </w:r>
          </w:p>
        </w:tc>
      </w:tr>
    </w:tbl>
    <w:p w14:paraId="6AF8D903" w14:textId="77777777" w:rsidR="00EE69A9" w:rsidRDefault="00EE69A9" w:rsidP="00EE69A9">
      <w:pPr>
        <w:jc w:val="both"/>
        <w:rPr>
          <w:lang w:val="en-US"/>
        </w:rPr>
      </w:pPr>
    </w:p>
    <w:p w14:paraId="3DC129A4" w14:textId="77777777" w:rsidR="00937EBF" w:rsidRDefault="00937EBF" w:rsidP="00EE69A9">
      <w:pPr>
        <w:jc w:val="both"/>
        <w:rPr>
          <w:lang w:val="en-US"/>
        </w:rPr>
      </w:pPr>
    </w:p>
    <w:tbl>
      <w:tblPr>
        <w:tblW w:w="6780" w:type="dxa"/>
        <w:jc w:val="center"/>
        <w:tblCellMar>
          <w:left w:w="70" w:type="dxa"/>
          <w:right w:w="70" w:type="dxa"/>
        </w:tblCellMar>
        <w:tblLook w:val="04A0" w:firstRow="1" w:lastRow="0" w:firstColumn="1" w:lastColumn="0" w:noHBand="0" w:noVBand="1"/>
      </w:tblPr>
      <w:tblGrid>
        <w:gridCol w:w="2263"/>
        <w:gridCol w:w="2268"/>
        <w:gridCol w:w="2249"/>
      </w:tblGrid>
      <w:tr w:rsidR="00937EBF" w14:paraId="4E447190" w14:textId="77777777" w:rsidTr="00937EBF">
        <w:trPr>
          <w:trHeight w:val="320"/>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4564FEA" w14:textId="77777777" w:rsidR="00937EBF" w:rsidRDefault="00937EBF">
            <w:pPr>
              <w:jc w:val="center"/>
              <w:rPr>
                <w:rFonts w:ascii="Calibri" w:hAnsi="Calibri" w:cs="Calibri"/>
                <w:color w:val="000000"/>
              </w:rPr>
            </w:pPr>
            <w:r>
              <w:rPr>
                <w:rFonts w:ascii="Calibri" w:hAnsi="Calibri" w:cs="Calibri"/>
                <w:color w:val="000000"/>
              </w:rPr>
              <w:t xml:space="preserve">AAF - Statistics </w:t>
            </w:r>
          </w:p>
        </w:tc>
      </w:tr>
      <w:tr w:rsidR="00937EBF" w14:paraId="5F963BDF" w14:textId="77777777" w:rsidTr="00937EBF">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C58BF0" w14:textId="77777777" w:rsidR="00937EBF" w:rsidRDefault="00937EBF">
            <w:pPr>
              <w:jc w:val="center"/>
              <w:rPr>
                <w:rFonts w:ascii="Calibri" w:hAnsi="Calibri" w:cs="Calibri"/>
                <w:color w:val="000000"/>
              </w:rPr>
            </w:pPr>
            <w:r>
              <w:rPr>
                <w:rFonts w:ascii="Calibri" w:hAnsi="Calibri" w:cs="Calibri"/>
                <w:color w:val="000000"/>
              </w:rPr>
              <w:t>Sport</w:t>
            </w:r>
          </w:p>
        </w:tc>
      </w:tr>
      <w:tr w:rsidR="00937EBF" w14:paraId="599C2727"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183B101" w14:textId="77777777" w:rsidR="00937EBF" w:rsidRDefault="00937EBF">
            <w:pPr>
              <w:jc w:val="center"/>
              <w:rPr>
                <w:rFonts w:ascii="Calibri" w:hAnsi="Calibri" w:cs="Calibri"/>
                <w:color w:val="000000"/>
              </w:rPr>
            </w:pPr>
            <w:r>
              <w:rPr>
                <w:rFonts w:ascii="Calibri" w:hAnsi="Calibri" w:cs="Calibri"/>
                <w:color w:val="000000"/>
              </w:rPr>
              <w:t>Judo</w:t>
            </w:r>
          </w:p>
        </w:tc>
        <w:tc>
          <w:tcPr>
            <w:tcW w:w="2268" w:type="dxa"/>
            <w:tcBorders>
              <w:top w:val="nil"/>
              <w:left w:val="nil"/>
              <w:bottom w:val="single" w:sz="4" w:space="0" w:color="auto"/>
              <w:right w:val="single" w:sz="4" w:space="0" w:color="auto"/>
            </w:tcBorders>
            <w:shd w:val="clear" w:color="auto" w:fill="auto"/>
            <w:noWrap/>
            <w:vAlign w:val="bottom"/>
            <w:hideMark/>
          </w:tcPr>
          <w:p w14:paraId="542A48C8" w14:textId="77777777" w:rsidR="00937EBF" w:rsidRDefault="00937EBF">
            <w:pPr>
              <w:jc w:val="center"/>
              <w:rPr>
                <w:rFonts w:ascii="Calibri" w:hAnsi="Calibri" w:cs="Calibri"/>
                <w:color w:val="000000"/>
              </w:rPr>
            </w:pPr>
            <w:r>
              <w:rPr>
                <w:rFonts w:ascii="Calibri" w:hAnsi="Calibri" w:cs="Calibri"/>
                <w:color w:val="000000"/>
              </w:rPr>
              <w:t>Goalball</w:t>
            </w:r>
          </w:p>
        </w:tc>
        <w:tc>
          <w:tcPr>
            <w:tcW w:w="2249" w:type="dxa"/>
            <w:tcBorders>
              <w:top w:val="nil"/>
              <w:left w:val="nil"/>
              <w:bottom w:val="single" w:sz="4" w:space="0" w:color="auto"/>
              <w:right w:val="single" w:sz="4" w:space="0" w:color="auto"/>
            </w:tcBorders>
            <w:shd w:val="clear" w:color="auto" w:fill="auto"/>
            <w:noWrap/>
            <w:vAlign w:val="bottom"/>
            <w:hideMark/>
          </w:tcPr>
          <w:p w14:paraId="7536FD31" w14:textId="77777777" w:rsidR="00937EBF" w:rsidRDefault="00937EBF">
            <w:pPr>
              <w:jc w:val="center"/>
              <w:rPr>
                <w:rFonts w:ascii="Calibri" w:hAnsi="Calibri" w:cs="Calibri"/>
                <w:color w:val="000000"/>
              </w:rPr>
            </w:pPr>
            <w:r>
              <w:rPr>
                <w:rFonts w:ascii="Calibri" w:hAnsi="Calibri" w:cs="Calibri"/>
                <w:color w:val="000000"/>
              </w:rPr>
              <w:t>Powerlifting</w:t>
            </w:r>
          </w:p>
        </w:tc>
      </w:tr>
      <w:tr w:rsidR="00937EBF" w14:paraId="70EA8948"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696E1A7" w14:textId="77777777" w:rsidR="00937EBF" w:rsidRDefault="00937EBF">
            <w:pPr>
              <w:jc w:val="center"/>
              <w:rPr>
                <w:rFonts w:ascii="Calibri" w:hAnsi="Calibri" w:cs="Calibri"/>
                <w:color w:val="000000"/>
              </w:rPr>
            </w:pPr>
            <w:r>
              <w:rPr>
                <w:rFonts w:ascii="Calibri" w:hAnsi="Calibri" w:cs="Calibri"/>
                <w:color w:val="000000"/>
              </w:rPr>
              <w:t>7</w:t>
            </w:r>
          </w:p>
        </w:tc>
        <w:tc>
          <w:tcPr>
            <w:tcW w:w="2268" w:type="dxa"/>
            <w:tcBorders>
              <w:top w:val="nil"/>
              <w:left w:val="nil"/>
              <w:bottom w:val="single" w:sz="4" w:space="0" w:color="auto"/>
              <w:right w:val="single" w:sz="4" w:space="0" w:color="auto"/>
            </w:tcBorders>
            <w:shd w:val="clear" w:color="auto" w:fill="auto"/>
            <w:noWrap/>
            <w:vAlign w:val="bottom"/>
            <w:hideMark/>
          </w:tcPr>
          <w:p w14:paraId="755B9F61" w14:textId="77777777" w:rsidR="00937EBF" w:rsidRDefault="00937EBF">
            <w:pPr>
              <w:jc w:val="center"/>
              <w:rPr>
                <w:rFonts w:ascii="Calibri" w:hAnsi="Calibri" w:cs="Calibri"/>
                <w:color w:val="000000"/>
              </w:rPr>
            </w:pPr>
            <w:r>
              <w:rPr>
                <w:rFonts w:ascii="Calibri" w:hAnsi="Calibri" w:cs="Calibri"/>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14:paraId="56FE32AA" w14:textId="77777777" w:rsidR="00937EBF" w:rsidRDefault="00937EBF">
            <w:pPr>
              <w:jc w:val="center"/>
              <w:rPr>
                <w:rFonts w:ascii="Calibri" w:hAnsi="Calibri" w:cs="Calibri"/>
                <w:color w:val="000000"/>
              </w:rPr>
            </w:pPr>
            <w:r>
              <w:rPr>
                <w:rFonts w:ascii="Calibri" w:hAnsi="Calibri" w:cs="Calibri"/>
                <w:color w:val="000000"/>
              </w:rPr>
              <w:t>2</w:t>
            </w:r>
          </w:p>
        </w:tc>
      </w:tr>
      <w:tr w:rsidR="00937EBF" w14:paraId="01BAA5F3" w14:textId="77777777" w:rsidTr="00937EBF">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70A19414" w14:textId="77777777" w:rsidR="00937EBF" w:rsidRDefault="00937EBF">
            <w:pPr>
              <w:jc w:val="center"/>
              <w:rPr>
                <w:rFonts w:ascii="Calibri" w:hAnsi="Calibri" w:cs="Calibri"/>
                <w:color w:val="000000"/>
              </w:rPr>
            </w:pPr>
            <w:r>
              <w:rPr>
                <w:rFonts w:ascii="Calibri" w:hAnsi="Calibri" w:cs="Calibri"/>
                <w:color w:val="000000"/>
              </w:rPr>
              <w:t>TOTAL</w:t>
            </w:r>
          </w:p>
        </w:tc>
      </w:tr>
      <w:tr w:rsidR="00937EBF" w14:paraId="09F3850C" w14:textId="77777777" w:rsidTr="00937EBF">
        <w:trPr>
          <w:trHeight w:val="320"/>
          <w:jc w:val="center"/>
        </w:trPr>
        <w:tc>
          <w:tcPr>
            <w:tcW w:w="6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7D174B" w14:textId="77777777" w:rsidR="00937EBF" w:rsidRDefault="00937EBF">
            <w:pPr>
              <w:jc w:val="center"/>
              <w:rPr>
                <w:rFonts w:ascii="Calibri" w:hAnsi="Calibri" w:cs="Calibri"/>
                <w:color w:val="000000"/>
              </w:rPr>
            </w:pPr>
            <w:r>
              <w:rPr>
                <w:rFonts w:ascii="Calibri" w:hAnsi="Calibri" w:cs="Calibri"/>
                <w:color w:val="000000"/>
              </w:rPr>
              <w:t>11</w:t>
            </w:r>
          </w:p>
        </w:tc>
      </w:tr>
    </w:tbl>
    <w:p w14:paraId="35AEFA96" w14:textId="77777777" w:rsidR="00937EBF" w:rsidRDefault="00937EBF" w:rsidP="00EE69A9">
      <w:pPr>
        <w:jc w:val="both"/>
        <w:rPr>
          <w:lang w:val="en-US"/>
        </w:rPr>
      </w:pPr>
    </w:p>
    <w:p w14:paraId="79EE6A28" w14:textId="77777777" w:rsidR="00937EBF" w:rsidRDefault="00937EBF" w:rsidP="00EE69A9">
      <w:pPr>
        <w:jc w:val="both"/>
        <w:rPr>
          <w:lang w:val="en-US"/>
        </w:rPr>
      </w:pPr>
    </w:p>
    <w:p w14:paraId="192AFE90" w14:textId="77777777" w:rsidR="00937EBF" w:rsidRDefault="00937EBF" w:rsidP="00EE69A9">
      <w:pPr>
        <w:jc w:val="both"/>
        <w:rPr>
          <w:lang w:val="en-US"/>
        </w:rPr>
      </w:pPr>
    </w:p>
    <w:p w14:paraId="12E2C85B" w14:textId="77777777" w:rsidR="00937EBF" w:rsidRDefault="00937EBF" w:rsidP="00EE69A9">
      <w:pPr>
        <w:jc w:val="both"/>
        <w:rPr>
          <w:lang w:val="en-US"/>
        </w:rPr>
      </w:pPr>
    </w:p>
    <w:p w14:paraId="563BFECB" w14:textId="77777777" w:rsidR="00937EBF" w:rsidRDefault="00937EBF" w:rsidP="00EE69A9">
      <w:pPr>
        <w:jc w:val="both"/>
        <w:rPr>
          <w:lang w:val="en-US"/>
        </w:rPr>
      </w:pPr>
    </w:p>
    <w:p w14:paraId="26FBBEE4" w14:textId="77777777" w:rsidR="00937EBF" w:rsidRDefault="00937EBF" w:rsidP="00EE69A9">
      <w:pPr>
        <w:jc w:val="both"/>
        <w:rPr>
          <w:lang w:val="en-US"/>
        </w:rPr>
      </w:pPr>
    </w:p>
    <w:tbl>
      <w:tblPr>
        <w:tblW w:w="4480" w:type="dxa"/>
        <w:jc w:val="center"/>
        <w:tblCellMar>
          <w:left w:w="70" w:type="dxa"/>
          <w:right w:w="70" w:type="dxa"/>
        </w:tblCellMar>
        <w:tblLook w:val="04A0" w:firstRow="1" w:lastRow="0" w:firstColumn="1" w:lastColumn="0" w:noHBand="0" w:noVBand="1"/>
      </w:tblPr>
      <w:tblGrid>
        <w:gridCol w:w="2263"/>
        <w:gridCol w:w="2217"/>
      </w:tblGrid>
      <w:tr w:rsidR="00937EBF" w14:paraId="68E50307" w14:textId="77777777" w:rsidTr="00937EBF">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848B8C5" w14:textId="77777777" w:rsidR="00937EBF" w:rsidRDefault="00937EBF">
            <w:pPr>
              <w:jc w:val="center"/>
              <w:rPr>
                <w:rFonts w:ascii="Calibri" w:hAnsi="Calibri" w:cs="Calibri"/>
                <w:color w:val="000000"/>
              </w:rPr>
            </w:pPr>
            <w:r>
              <w:rPr>
                <w:rFonts w:ascii="Calibri" w:hAnsi="Calibri" w:cs="Calibri"/>
                <w:color w:val="000000"/>
              </w:rPr>
              <w:lastRenderedPageBreak/>
              <w:t xml:space="preserve">AAF - Statistics </w:t>
            </w:r>
          </w:p>
        </w:tc>
      </w:tr>
      <w:tr w:rsidR="00937EBF" w14:paraId="3009B3F5" w14:textId="77777777" w:rsidTr="00937EBF">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21CDA" w14:textId="77777777" w:rsidR="00937EBF" w:rsidRDefault="00937EBF">
            <w:pPr>
              <w:jc w:val="center"/>
              <w:rPr>
                <w:rFonts w:ascii="Calibri" w:hAnsi="Calibri" w:cs="Calibri"/>
                <w:color w:val="000000"/>
              </w:rPr>
            </w:pPr>
            <w:r>
              <w:rPr>
                <w:rFonts w:ascii="Calibri" w:hAnsi="Calibri" w:cs="Calibri"/>
                <w:color w:val="000000"/>
              </w:rPr>
              <w:t>Substance Class</w:t>
            </w:r>
          </w:p>
        </w:tc>
      </w:tr>
      <w:tr w:rsidR="00937EBF" w14:paraId="2FB7F0AF"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000000" w:fill="ACB9CA"/>
            <w:noWrap/>
            <w:vAlign w:val="bottom"/>
            <w:hideMark/>
          </w:tcPr>
          <w:p w14:paraId="7F4992E5" w14:textId="77777777" w:rsidR="00937EBF" w:rsidRDefault="00937EBF">
            <w:pPr>
              <w:jc w:val="center"/>
              <w:rPr>
                <w:rFonts w:ascii="Calibri" w:hAnsi="Calibri" w:cs="Calibri"/>
                <w:color w:val="000000"/>
              </w:rPr>
            </w:pPr>
            <w:r>
              <w:rPr>
                <w:rFonts w:ascii="Calibri" w:hAnsi="Calibri" w:cs="Calibri"/>
                <w:color w:val="000000"/>
              </w:rPr>
              <w:t>S1.1</w:t>
            </w:r>
          </w:p>
        </w:tc>
        <w:tc>
          <w:tcPr>
            <w:tcW w:w="2217" w:type="dxa"/>
            <w:tcBorders>
              <w:top w:val="nil"/>
              <w:left w:val="nil"/>
              <w:bottom w:val="single" w:sz="4" w:space="0" w:color="auto"/>
              <w:right w:val="single" w:sz="4" w:space="0" w:color="auto"/>
            </w:tcBorders>
            <w:shd w:val="clear" w:color="000000" w:fill="ACB9CA"/>
            <w:noWrap/>
            <w:vAlign w:val="bottom"/>
            <w:hideMark/>
          </w:tcPr>
          <w:p w14:paraId="449553AD" w14:textId="77777777" w:rsidR="00937EBF" w:rsidRDefault="00937EBF">
            <w:pPr>
              <w:jc w:val="center"/>
              <w:rPr>
                <w:rFonts w:ascii="Calibri" w:hAnsi="Calibri" w:cs="Calibri"/>
                <w:color w:val="000000"/>
              </w:rPr>
            </w:pPr>
            <w:r>
              <w:rPr>
                <w:rFonts w:ascii="Calibri" w:hAnsi="Calibri" w:cs="Calibri"/>
                <w:color w:val="000000"/>
              </w:rPr>
              <w:t>S.4</w:t>
            </w:r>
          </w:p>
        </w:tc>
      </w:tr>
      <w:tr w:rsidR="00937EBF" w14:paraId="2272E827"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E994570" w14:textId="77777777" w:rsidR="00937EBF" w:rsidRDefault="00937EBF">
            <w:pPr>
              <w:jc w:val="center"/>
              <w:rPr>
                <w:rFonts w:ascii="Calibri" w:hAnsi="Calibri" w:cs="Calibri"/>
                <w:color w:val="000000"/>
              </w:rPr>
            </w:pPr>
            <w:r>
              <w:rPr>
                <w:rFonts w:ascii="Calibri" w:hAnsi="Calibri" w:cs="Calibri"/>
                <w:color w:val="000000"/>
              </w:rPr>
              <w:t>3</w:t>
            </w:r>
          </w:p>
        </w:tc>
        <w:tc>
          <w:tcPr>
            <w:tcW w:w="2217" w:type="dxa"/>
            <w:tcBorders>
              <w:top w:val="nil"/>
              <w:left w:val="nil"/>
              <w:bottom w:val="single" w:sz="4" w:space="0" w:color="auto"/>
              <w:right w:val="single" w:sz="4" w:space="0" w:color="auto"/>
            </w:tcBorders>
            <w:shd w:val="clear" w:color="auto" w:fill="auto"/>
            <w:noWrap/>
            <w:vAlign w:val="bottom"/>
            <w:hideMark/>
          </w:tcPr>
          <w:p w14:paraId="1909A7B1" w14:textId="77777777" w:rsidR="00937EBF" w:rsidRDefault="00937EBF">
            <w:pPr>
              <w:jc w:val="center"/>
              <w:rPr>
                <w:rFonts w:ascii="Calibri" w:hAnsi="Calibri" w:cs="Calibri"/>
                <w:color w:val="000000"/>
              </w:rPr>
            </w:pPr>
            <w:r>
              <w:rPr>
                <w:rFonts w:ascii="Calibri" w:hAnsi="Calibri" w:cs="Calibri"/>
                <w:color w:val="000000"/>
              </w:rPr>
              <w:t>1</w:t>
            </w:r>
          </w:p>
        </w:tc>
      </w:tr>
      <w:tr w:rsidR="00937EBF" w14:paraId="3D96449D"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000000" w:fill="ACB9CA"/>
            <w:noWrap/>
            <w:vAlign w:val="bottom"/>
            <w:hideMark/>
          </w:tcPr>
          <w:p w14:paraId="2D40D226" w14:textId="77777777" w:rsidR="00937EBF" w:rsidRDefault="00937EBF">
            <w:pPr>
              <w:jc w:val="center"/>
              <w:rPr>
                <w:rFonts w:ascii="Calibri" w:hAnsi="Calibri" w:cs="Calibri"/>
                <w:color w:val="000000"/>
              </w:rPr>
            </w:pPr>
            <w:r>
              <w:rPr>
                <w:rFonts w:ascii="Calibri" w:hAnsi="Calibri" w:cs="Calibri"/>
                <w:color w:val="000000"/>
              </w:rPr>
              <w:t>S.5</w:t>
            </w:r>
          </w:p>
        </w:tc>
        <w:tc>
          <w:tcPr>
            <w:tcW w:w="2217" w:type="dxa"/>
            <w:tcBorders>
              <w:top w:val="nil"/>
              <w:left w:val="nil"/>
              <w:bottom w:val="single" w:sz="4" w:space="0" w:color="auto"/>
              <w:right w:val="single" w:sz="4" w:space="0" w:color="auto"/>
            </w:tcBorders>
            <w:shd w:val="clear" w:color="000000" w:fill="ACB9CA"/>
            <w:noWrap/>
            <w:vAlign w:val="bottom"/>
            <w:hideMark/>
          </w:tcPr>
          <w:p w14:paraId="2ACAB534" w14:textId="77777777" w:rsidR="00937EBF" w:rsidRDefault="00937EBF">
            <w:pPr>
              <w:jc w:val="center"/>
              <w:rPr>
                <w:rFonts w:ascii="Calibri" w:hAnsi="Calibri" w:cs="Calibri"/>
                <w:color w:val="000000"/>
              </w:rPr>
            </w:pPr>
            <w:r>
              <w:rPr>
                <w:rFonts w:ascii="Calibri" w:hAnsi="Calibri" w:cs="Calibri"/>
                <w:color w:val="000000"/>
              </w:rPr>
              <w:t>S.6</w:t>
            </w:r>
          </w:p>
        </w:tc>
      </w:tr>
      <w:tr w:rsidR="00937EBF" w14:paraId="74F5D6A0" w14:textId="77777777" w:rsidTr="00937EBF">
        <w:trPr>
          <w:trHeight w:val="32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D301C4" w14:textId="77777777" w:rsidR="00937EBF" w:rsidRDefault="00937EBF">
            <w:pPr>
              <w:jc w:val="center"/>
              <w:rPr>
                <w:rFonts w:ascii="Calibri" w:hAnsi="Calibri" w:cs="Calibri"/>
                <w:color w:val="000000"/>
              </w:rPr>
            </w:pPr>
            <w:r>
              <w:rPr>
                <w:rFonts w:ascii="Calibri" w:hAnsi="Calibri" w:cs="Calibri"/>
                <w:color w:val="000000"/>
              </w:rPr>
              <w:t>6</w:t>
            </w:r>
          </w:p>
        </w:tc>
        <w:tc>
          <w:tcPr>
            <w:tcW w:w="2217" w:type="dxa"/>
            <w:tcBorders>
              <w:top w:val="nil"/>
              <w:left w:val="nil"/>
              <w:bottom w:val="single" w:sz="4" w:space="0" w:color="auto"/>
              <w:right w:val="single" w:sz="4" w:space="0" w:color="auto"/>
            </w:tcBorders>
            <w:shd w:val="clear" w:color="auto" w:fill="auto"/>
            <w:noWrap/>
            <w:vAlign w:val="bottom"/>
            <w:hideMark/>
          </w:tcPr>
          <w:p w14:paraId="61F7A806" w14:textId="77777777" w:rsidR="00937EBF" w:rsidRDefault="00937EBF">
            <w:pPr>
              <w:jc w:val="center"/>
              <w:rPr>
                <w:rFonts w:ascii="Calibri" w:hAnsi="Calibri" w:cs="Calibri"/>
                <w:color w:val="000000"/>
              </w:rPr>
            </w:pPr>
            <w:r>
              <w:rPr>
                <w:rFonts w:ascii="Calibri" w:hAnsi="Calibri" w:cs="Calibri"/>
                <w:color w:val="000000"/>
              </w:rPr>
              <w:t>1</w:t>
            </w:r>
          </w:p>
        </w:tc>
      </w:tr>
      <w:tr w:rsidR="00937EBF" w14:paraId="73D7F28D" w14:textId="77777777" w:rsidTr="00937EBF">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637C046" w14:textId="77777777" w:rsidR="00937EBF" w:rsidRDefault="00937EBF">
            <w:pPr>
              <w:jc w:val="center"/>
              <w:rPr>
                <w:rFonts w:ascii="Calibri" w:hAnsi="Calibri" w:cs="Calibri"/>
                <w:color w:val="000000"/>
              </w:rPr>
            </w:pPr>
            <w:r>
              <w:rPr>
                <w:rFonts w:ascii="Calibri" w:hAnsi="Calibri" w:cs="Calibri"/>
                <w:color w:val="000000"/>
              </w:rPr>
              <w:t>TOTAL</w:t>
            </w:r>
          </w:p>
        </w:tc>
      </w:tr>
      <w:tr w:rsidR="00937EBF" w14:paraId="7661149F" w14:textId="77777777" w:rsidTr="00937EBF">
        <w:trPr>
          <w:trHeight w:val="320"/>
          <w:jc w:val="center"/>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1031C" w14:textId="77777777" w:rsidR="00937EBF" w:rsidRDefault="00937EBF">
            <w:pPr>
              <w:jc w:val="center"/>
              <w:rPr>
                <w:rFonts w:ascii="Calibri" w:hAnsi="Calibri" w:cs="Calibri"/>
                <w:color w:val="000000"/>
              </w:rPr>
            </w:pPr>
            <w:r>
              <w:rPr>
                <w:rFonts w:ascii="Calibri" w:hAnsi="Calibri" w:cs="Calibri"/>
                <w:color w:val="000000"/>
              </w:rPr>
              <w:t>11</w:t>
            </w:r>
          </w:p>
        </w:tc>
      </w:tr>
    </w:tbl>
    <w:p w14:paraId="16B26840" w14:textId="77777777" w:rsidR="00937EBF" w:rsidRDefault="00937EBF" w:rsidP="00EE69A9">
      <w:pPr>
        <w:jc w:val="both"/>
        <w:rPr>
          <w:lang w:val="en-US"/>
        </w:rPr>
      </w:pPr>
    </w:p>
    <w:p w14:paraId="2A96A3C6" w14:textId="05F3882B" w:rsidR="00937EBF" w:rsidRDefault="00937EBF" w:rsidP="00EE69A9">
      <w:pPr>
        <w:jc w:val="both"/>
        <w:rPr>
          <w:rStyle w:val="nfase"/>
          <w:rFonts w:ascii="Roboto" w:hAnsi="Roboto"/>
          <w:color w:val="2E2E2E"/>
        </w:rPr>
      </w:pPr>
      <w:r>
        <w:rPr>
          <w:rStyle w:val="nfase"/>
          <w:rFonts w:ascii="Roboto" w:hAnsi="Roboto"/>
          <w:color w:val="2E2E2E"/>
        </w:rPr>
        <w:t>The majority of AAF- Non ADVR were attested by Dorzolamida</w:t>
      </w:r>
    </w:p>
    <w:p w14:paraId="6A51CD4A" w14:textId="77777777" w:rsidR="00937EBF" w:rsidRDefault="00937EBF" w:rsidP="00EE69A9">
      <w:pPr>
        <w:jc w:val="both"/>
        <w:rPr>
          <w:rStyle w:val="nfase"/>
          <w:rFonts w:ascii="Roboto" w:hAnsi="Roboto"/>
          <w:color w:val="2E2E2E"/>
        </w:rPr>
      </w:pPr>
    </w:p>
    <w:p w14:paraId="530D845E" w14:textId="77777777" w:rsidR="00937EBF" w:rsidRDefault="00937EBF" w:rsidP="00EE69A9">
      <w:pPr>
        <w:jc w:val="both"/>
        <w:rPr>
          <w:rStyle w:val="nfase"/>
          <w:rFonts w:ascii="Roboto" w:hAnsi="Roboto"/>
          <w:color w:val="2E2E2E"/>
        </w:rPr>
      </w:pPr>
    </w:p>
    <w:p w14:paraId="03DEF031" w14:textId="77777777" w:rsidR="00937EBF" w:rsidRDefault="00937EBF" w:rsidP="00EE69A9">
      <w:pPr>
        <w:jc w:val="both"/>
        <w:rPr>
          <w:rStyle w:val="nfase"/>
          <w:rFonts w:ascii="Roboto" w:hAnsi="Roboto"/>
          <w:color w:val="2E2E2E"/>
        </w:rPr>
      </w:pPr>
    </w:p>
    <w:p w14:paraId="1C83C13C" w14:textId="77777777" w:rsidR="00937EBF" w:rsidRDefault="00937EBF" w:rsidP="00EE69A9">
      <w:pPr>
        <w:jc w:val="both"/>
        <w:rPr>
          <w:rStyle w:val="nfase"/>
          <w:rFonts w:ascii="Roboto" w:hAnsi="Roboto"/>
          <w:color w:val="2E2E2E"/>
        </w:rPr>
      </w:pPr>
    </w:p>
    <w:p w14:paraId="53EBB10E" w14:textId="77777777" w:rsidR="00937EBF" w:rsidRDefault="00937EBF" w:rsidP="00EE69A9">
      <w:pPr>
        <w:jc w:val="both"/>
        <w:rPr>
          <w:rStyle w:val="nfase"/>
          <w:rFonts w:ascii="Roboto" w:hAnsi="Roboto"/>
          <w:color w:val="2E2E2E"/>
        </w:rPr>
      </w:pPr>
    </w:p>
    <w:p w14:paraId="1E368266" w14:textId="77777777" w:rsidR="00937EBF" w:rsidRDefault="00937EBF" w:rsidP="00EE69A9">
      <w:pPr>
        <w:jc w:val="both"/>
        <w:rPr>
          <w:rStyle w:val="nfase"/>
          <w:rFonts w:ascii="Roboto" w:hAnsi="Roboto"/>
          <w:color w:val="2E2E2E"/>
        </w:rPr>
      </w:pPr>
    </w:p>
    <w:p w14:paraId="12CCD650" w14:textId="77777777" w:rsidR="00937EBF" w:rsidRDefault="00937EBF" w:rsidP="00EE69A9">
      <w:pPr>
        <w:jc w:val="both"/>
        <w:rPr>
          <w:rStyle w:val="nfase"/>
          <w:rFonts w:ascii="Roboto" w:hAnsi="Roboto"/>
          <w:color w:val="2E2E2E"/>
        </w:rPr>
      </w:pPr>
    </w:p>
    <w:p w14:paraId="21FBB643" w14:textId="77777777" w:rsidR="00937EBF" w:rsidRDefault="00937EBF" w:rsidP="00EE69A9">
      <w:pPr>
        <w:jc w:val="both"/>
        <w:rPr>
          <w:rStyle w:val="nfase"/>
          <w:rFonts w:ascii="Roboto" w:hAnsi="Roboto"/>
          <w:color w:val="2E2E2E"/>
        </w:rPr>
      </w:pPr>
    </w:p>
    <w:p w14:paraId="2325F3F3" w14:textId="77777777" w:rsidR="00937EBF" w:rsidRDefault="00937EBF" w:rsidP="00EE69A9">
      <w:pPr>
        <w:jc w:val="both"/>
        <w:rPr>
          <w:rStyle w:val="nfase"/>
          <w:rFonts w:ascii="Roboto" w:hAnsi="Roboto"/>
          <w:color w:val="2E2E2E"/>
        </w:rPr>
      </w:pPr>
    </w:p>
    <w:p w14:paraId="338D0EBD" w14:textId="77777777" w:rsidR="00937EBF" w:rsidRDefault="00937EBF" w:rsidP="00EE69A9">
      <w:pPr>
        <w:jc w:val="both"/>
        <w:rPr>
          <w:rStyle w:val="nfase"/>
          <w:rFonts w:ascii="Roboto" w:hAnsi="Roboto"/>
          <w:color w:val="2E2E2E"/>
        </w:rPr>
      </w:pPr>
    </w:p>
    <w:p w14:paraId="23FDF953" w14:textId="5659B4D2" w:rsidR="00937EBF" w:rsidRPr="00937EBF" w:rsidRDefault="00937EBF" w:rsidP="00EE69A9">
      <w:pPr>
        <w:jc w:val="both"/>
        <w:rPr>
          <w:rStyle w:val="nfase"/>
          <w:rFonts w:ascii="Roboto" w:hAnsi="Roboto"/>
          <w:b/>
          <w:bCs/>
          <w:i w:val="0"/>
          <w:iCs w:val="0"/>
          <w:color w:val="2E2E2E"/>
          <w:lang w:val="pt-BR"/>
        </w:rPr>
      </w:pPr>
      <w:proofErr w:type="spellStart"/>
      <w:r w:rsidRPr="00937EBF">
        <w:rPr>
          <w:rStyle w:val="nfase"/>
          <w:rFonts w:ascii="Roboto" w:hAnsi="Roboto"/>
          <w:b/>
          <w:bCs/>
          <w:i w:val="0"/>
          <w:iCs w:val="0"/>
          <w:color w:val="2E2E2E"/>
          <w:lang w:val="pt-BR"/>
        </w:rPr>
        <w:t>Anti-Doping</w:t>
      </w:r>
      <w:proofErr w:type="spellEnd"/>
      <w:r w:rsidRPr="00937EBF">
        <w:rPr>
          <w:rStyle w:val="nfase"/>
          <w:rFonts w:ascii="Roboto" w:hAnsi="Roboto"/>
          <w:b/>
          <w:bCs/>
          <w:i w:val="0"/>
          <w:iCs w:val="0"/>
          <w:color w:val="2E2E2E"/>
          <w:lang w:val="pt-BR"/>
        </w:rPr>
        <w:t xml:space="preserve"> </w:t>
      </w:r>
      <w:proofErr w:type="spellStart"/>
      <w:r w:rsidRPr="00937EBF">
        <w:rPr>
          <w:rStyle w:val="nfase"/>
          <w:rFonts w:ascii="Roboto" w:hAnsi="Roboto"/>
          <w:b/>
          <w:bCs/>
          <w:i w:val="0"/>
          <w:iCs w:val="0"/>
          <w:color w:val="2E2E2E"/>
          <w:lang w:val="pt-BR"/>
        </w:rPr>
        <w:t>Department</w:t>
      </w:r>
      <w:proofErr w:type="spellEnd"/>
    </w:p>
    <w:p w14:paraId="5FC6CBE0" w14:textId="77777777" w:rsidR="00937EBF" w:rsidRPr="00937EBF" w:rsidRDefault="00937EBF" w:rsidP="00EE69A9">
      <w:pPr>
        <w:jc w:val="both"/>
        <w:rPr>
          <w:lang w:val="pt-BR"/>
        </w:rPr>
      </w:pPr>
    </w:p>
    <w:sectPr w:rsidR="00937EBF" w:rsidRPr="00937EBF" w:rsidSect="00EA647E">
      <w:headerReference w:type="default" r:id="rId7"/>
      <w:pgSz w:w="11906" w:h="16838"/>
      <w:pgMar w:top="2202" w:right="1440" w:bottom="1440" w:left="1440" w:header="15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E9CD" w14:textId="77777777" w:rsidR="00EA647E" w:rsidRDefault="00EA647E" w:rsidP="0032126E">
      <w:r>
        <w:separator/>
      </w:r>
    </w:p>
  </w:endnote>
  <w:endnote w:type="continuationSeparator" w:id="0">
    <w:p w14:paraId="53EE21F5" w14:textId="77777777" w:rsidR="00EA647E" w:rsidRDefault="00EA647E" w:rsidP="0032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B554" w14:textId="77777777" w:rsidR="00EA647E" w:rsidRDefault="00EA647E" w:rsidP="0032126E">
      <w:r>
        <w:separator/>
      </w:r>
    </w:p>
  </w:footnote>
  <w:footnote w:type="continuationSeparator" w:id="0">
    <w:p w14:paraId="4BCCBDF0" w14:textId="77777777" w:rsidR="00EA647E" w:rsidRDefault="00EA647E" w:rsidP="0032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6630" w14:textId="0E3AC52B" w:rsidR="0032126E" w:rsidRPr="009B75B2" w:rsidRDefault="0032126E" w:rsidP="0032126E">
    <w:pPr>
      <w:pStyle w:val="SemEspaamento"/>
      <w:tabs>
        <w:tab w:val="left" w:pos="785"/>
        <w:tab w:val="right" w:pos="9026"/>
      </w:tabs>
      <w:spacing w:line="276" w:lineRule="auto"/>
      <w:rPr>
        <w:rFonts w:ascii="Verdana" w:hAnsi="Verdana"/>
        <w:sz w:val="24"/>
        <w:szCs w:val="24"/>
        <w:lang w:val="de-DE"/>
      </w:rPr>
    </w:pPr>
    <w:r>
      <w:rPr>
        <w:rFonts w:ascii="Verdana" w:hAnsi="Verdana"/>
        <w:sz w:val="24"/>
        <w:szCs w:val="24"/>
        <w:lang w:val="de-DE"/>
      </w:rPr>
      <w:tab/>
    </w:r>
    <w:r>
      <w:rPr>
        <w:rFonts w:ascii="Verdana" w:hAnsi="Verdana"/>
        <w:sz w:val="24"/>
        <w:szCs w:val="24"/>
        <w:lang w:val="de-DE"/>
      </w:rPr>
      <w:tab/>
    </w:r>
    <w:r>
      <w:rPr>
        <w:noProof/>
      </w:rPr>
      <w:drawing>
        <wp:anchor distT="0" distB="0" distL="114300" distR="114300" simplePos="0" relativeHeight="251661312" behindDoc="1" locked="0" layoutInCell="1" allowOverlap="1" wp14:anchorId="5238E002" wp14:editId="6AF67EEC">
          <wp:simplePos x="0" y="0"/>
          <wp:positionH relativeFrom="column">
            <wp:posOffset>-591820</wp:posOffset>
          </wp:positionH>
          <wp:positionV relativeFrom="paragraph">
            <wp:posOffset>-744220</wp:posOffset>
          </wp:positionV>
          <wp:extent cx="956310" cy="1435100"/>
          <wp:effectExtent l="0" t="0" r="0" b="0"/>
          <wp:wrapTight wrapText="bothSides">
            <wp:wrapPolygon edited="0">
              <wp:start x="0" y="0"/>
              <wp:lineTo x="0" y="21409"/>
              <wp:lineTo x="21227" y="21409"/>
              <wp:lineTo x="21227" y="0"/>
              <wp:lineTo x="0" y="0"/>
            </wp:wrapPolygon>
          </wp:wrapTight>
          <wp:docPr id="1240727350" name="Imagem 1"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Uma imagem contendo Logotipo&#10;&#10;Descrição gerad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5B2">
      <w:rPr>
        <w:rFonts w:ascii="Verdana" w:hAnsi="Verdana"/>
        <w:sz w:val="24"/>
        <w:szCs w:val="24"/>
        <w:lang w:val="de-DE"/>
      </w:rPr>
      <w:t xml:space="preserve">IBSA International Blind Sports </w:t>
    </w:r>
    <w:proofErr w:type="spellStart"/>
    <w:r w:rsidRPr="009B75B2">
      <w:rPr>
        <w:rFonts w:ascii="Verdana" w:hAnsi="Verdana"/>
        <w:sz w:val="24"/>
        <w:szCs w:val="24"/>
        <w:lang w:val="de-DE"/>
      </w:rPr>
      <w:t>Federatio</w:t>
    </w:r>
    <w:r>
      <w:rPr>
        <w:rFonts w:ascii="Verdana" w:hAnsi="Verdana"/>
        <w:sz w:val="24"/>
        <w:szCs w:val="24"/>
        <w:lang w:val="de-DE"/>
      </w:rPr>
      <w:t>n</w:t>
    </w:r>
    <w:proofErr w:type="spellEnd"/>
  </w:p>
  <w:p w14:paraId="2DAB3274" w14:textId="77777777" w:rsidR="0032126E" w:rsidRPr="009B75B2" w:rsidRDefault="0032126E" w:rsidP="0032126E">
    <w:pPr>
      <w:kinsoku w:val="0"/>
      <w:overflowPunct w:val="0"/>
      <w:jc w:val="right"/>
      <w:rPr>
        <w:rFonts w:ascii="Verdana" w:hAnsi="Verdana" w:cs="Arial"/>
      </w:rPr>
    </w:pPr>
    <w:r w:rsidRPr="009B75B2">
      <w:rPr>
        <w:rFonts w:ascii="Verdana" w:hAnsi="Verdana" w:cs="Arial"/>
      </w:rPr>
      <w:t>Adenauerallee 212-214</w:t>
    </w:r>
  </w:p>
  <w:p w14:paraId="1BBB5F17" w14:textId="77777777" w:rsidR="0032126E" w:rsidRPr="009B75B2" w:rsidRDefault="0032126E" w:rsidP="0032126E">
    <w:pPr>
      <w:kinsoku w:val="0"/>
      <w:overflowPunct w:val="0"/>
      <w:jc w:val="right"/>
      <w:rPr>
        <w:rFonts w:ascii="Verdana" w:hAnsi="Verdana" w:cs="Arial"/>
      </w:rPr>
    </w:pPr>
    <w:r w:rsidRPr="009B75B2">
      <w:rPr>
        <w:rFonts w:ascii="Verdana" w:hAnsi="Verdana" w:cs="Arial"/>
      </w:rPr>
      <w:t>53113 Bonn, Germany</w:t>
    </w:r>
  </w:p>
  <w:p w14:paraId="7E3BABC0" w14:textId="77777777" w:rsidR="0032126E" w:rsidRPr="009B75B2" w:rsidRDefault="0032126E" w:rsidP="0032126E">
    <w:pPr>
      <w:kinsoku w:val="0"/>
      <w:overflowPunct w:val="0"/>
      <w:jc w:val="right"/>
      <w:rPr>
        <w:rFonts w:ascii="Verdana" w:hAnsi="Verdana" w:cs="Arial"/>
      </w:rPr>
    </w:pPr>
    <w:hyperlink r:id="rId2" w:history="1">
      <w:r w:rsidRPr="009B75B2">
        <w:rPr>
          <w:rFonts w:ascii="Verdana" w:hAnsi="Verdana" w:cs="Arial"/>
          <w:b/>
          <w:bCs/>
        </w:rPr>
        <w:t>www.ibsa</w:t>
      </w:r>
    </w:hyperlink>
    <w:hyperlink r:id="rId3" w:history="1">
      <w:r w:rsidRPr="009B75B2">
        <w:rPr>
          <w:rFonts w:ascii="Verdana" w:hAnsi="Verdana" w:cs="Arial"/>
          <w:b/>
          <w:bCs/>
        </w:rPr>
        <w:t>s</w:t>
      </w:r>
    </w:hyperlink>
    <w:hyperlink r:id="rId4" w:history="1">
      <w:r w:rsidRPr="009B75B2">
        <w:rPr>
          <w:rFonts w:ascii="Verdana" w:hAnsi="Verdana" w:cs="Arial"/>
          <w:b/>
          <w:bCs/>
        </w:rPr>
        <w:t>port.org</w:t>
      </w:r>
    </w:hyperlink>
  </w:p>
  <w:p w14:paraId="1B982015" w14:textId="0D70078B" w:rsidR="0032126E" w:rsidRDefault="003212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12712"/>
    <w:multiLevelType w:val="multilevel"/>
    <w:tmpl w:val="3266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71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6E"/>
    <w:rsid w:val="0032126E"/>
    <w:rsid w:val="00937EBF"/>
    <w:rsid w:val="00EA647E"/>
    <w:rsid w:val="00EE69A9"/>
  </w:rsids>
  <m:mathPr>
    <m:mathFont m:val="Cambria Math"/>
    <m:brkBin m:val="before"/>
    <m:brkBinSub m:val="--"/>
    <m:smallFrac m:val="0"/>
    <m:dispDef/>
    <m:lMargin m:val="0"/>
    <m:rMargin m:val="0"/>
    <m:defJc m:val="centerGroup"/>
    <m:wrapIndent m:val="1440"/>
    <m:intLim m:val="subSup"/>
    <m:naryLim m:val="undOvr"/>
  </m:mathPr>
  <w:themeFontLang w:val="pt-CL"/>
  <w:clrSchemeMapping w:bg1="light1" w:t1="dark1" w:bg2="light2" w:t2="dark2" w:accent1="accent1" w:accent2="accent2" w:accent3="accent3" w:accent4="accent4" w:accent5="accent5" w:accent6="accent6" w:hyperlink="hyperlink" w:followedHyperlink="followedHyperlink"/>
  <w:decimalSymbol w:val=","/>
  <w:listSeparator w:val=";"/>
  <w14:docId w14:val="2E2BF8F7"/>
  <w15:chartTrackingRefBased/>
  <w15:docId w15:val="{5F0DE7DE-0883-B54A-B7AF-A95B7FB1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BF"/>
    <w:rPr>
      <w:rFonts w:ascii="Times New Roman" w:eastAsia="Times New Roman" w:hAnsi="Times New Roman" w:cs="Times New Roman"/>
      <w:kern w:val="0"/>
      <w:lang w:eastAsia="pt-BR"/>
      <w14:ligatures w14:val="none"/>
    </w:rPr>
  </w:style>
  <w:style w:type="paragraph" w:styleId="Ttulo3">
    <w:name w:val="heading 3"/>
    <w:basedOn w:val="Normal"/>
    <w:link w:val="Ttulo3Char"/>
    <w:uiPriority w:val="9"/>
    <w:qFormat/>
    <w:rsid w:val="0032126E"/>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2126E"/>
    <w:rPr>
      <w:rFonts w:ascii="Times New Roman" w:eastAsia="Times New Roman" w:hAnsi="Times New Roman" w:cs="Times New Roman"/>
      <w:b/>
      <w:bCs/>
      <w:kern w:val="0"/>
      <w:sz w:val="27"/>
      <w:szCs w:val="27"/>
      <w:lang w:eastAsia="pt-BR"/>
      <w14:ligatures w14:val="none"/>
    </w:rPr>
  </w:style>
  <w:style w:type="paragraph" w:styleId="NormalWeb">
    <w:name w:val="Normal (Web)"/>
    <w:basedOn w:val="Normal"/>
    <w:uiPriority w:val="99"/>
    <w:semiHidden/>
    <w:unhideWhenUsed/>
    <w:rsid w:val="0032126E"/>
    <w:pPr>
      <w:spacing w:before="100" w:beforeAutospacing="1" w:after="100" w:afterAutospacing="1"/>
    </w:pPr>
  </w:style>
  <w:style w:type="character" w:styleId="nfase">
    <w:name w:val="Emphasis"/>
    <w:basedOn w:val="Fontepargpadro"/>
    <w:uiPriority w:val="20"/>
    <w:qFormat/>
    <w:rsid w:val="0032126E"/>
    <w:rPr>
      <w:i/>
      <w:iCs/>
    </w:rPr>
  </w:style>
  <w:style w:type="paragraph" w:styleId="Cabealho">
    <w:name w:val="header"/>
    <w:basedOn w:val="Normal"/>
    <w:link w:val="CabealhoChar"/>
    <w:uiPriority w:val="99"/>
    <w:unhideWhenUsed/>
    <w:rsid w:val="0032126E"/>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CabealhoChar">
    <w:name w:val="Cabeçalho Char"/>
    <w:basedOn w:val="Fontepargpadro"/>
    <w:link w:val="Cabealho"/>
    <w:uiPriority w:val="99"/>
    <w:rsid w:val="0032126E"/>
  </w:style>
  <w:style w:type="paragraph" w:styleId="Rodap">
    <w:name w:val="footer"/>
    <w:basedOn w:val="Normal"/>
    <w:link w:val="RodapChar"/>
    <w:uiPriority w:val="99"/>
    <w:unhideWhenUsed/>
    <w:rsid w:val="0032126E"/>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RodapChar">
    <w:name w:val="Rodapé Char"/>
    <w:basedOn w:val="Fontepargpadro"/>
    <w:link w:val="Rodap"/>
    <w:uiPriority w:val="99"/>
    <w:rsid w:val="0032126E"/>
  </w:style>
  <w:style w:type="paragraph" w:styleId="SemEspaamento">
    <w:name w:val="No Spacing"/>
    <w:uiPriority w:val="1"/>
    <w:qFormat/>
    <w:rsid w:val="0032126E"/>
    <w:rPr>
      <w:rFonts w:ascii="Calibri" w:eastAsia="Calibri" w:hAnsi="Calibri" w:cs="Times New Roman"/>
      <w:kern w:val="0"/>
      <w:sz w:val="22"/>
      <w:szCs w:val="22"/>
      <w:lang w:val="en"/>
      <w14:ligatures w14:val="none"/>
    </w:rPr>
  </w:style>
  <w:style w:type="character" w:customStyle="1" w:styleId="apple-converted-space">
    <w:name w:val="apple-converted-space"/>
    <w:basedOn w:val="Fontepargpadro"/>
    <w:rsid w:val="00EE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18">
      <w:bodyDiv w:val="1"/>
      <w:marLeft w:val="0"/>
      <w:marRight w:val="0"/>
      <w:marTop w:val="0"/>
      <w:marBottom w:val="0"/>
      <w:divBdr>
        <w:top w:val="none" w:sz="0" w:space="0" w:color="auto"/>
        <w:left w:val="none" w:sz="0" w:space="0" w:color="auto"/>
        <w:bottom w:val="none" w:sz="0" w:space="0" w:color="auto"/>
        <w:right w:val="none" w:sz="0" w:space="0" w:color="auto"/>
      </w:divBdr>
    </w:div>
    <w:div w:id="28385519">
      <w:bodyDiv w:val="1"/>
      <w:marLeft w:val="0"/>
      <w:marRight w:val="0"/>
      <w:marTop w:val="0"/>
      <w:marBottom w:val="0"/>
      <w:divBdr>
        <w:top w:val="none" w:sz="0" w:space="0" w:color="auto"/>
        <w:left w:val="none" w:sz="0" w:space="0" w:color="auto"/>
        <w:bottom w:val="none" w:sz="0" w:space="0" w:color="auto"/>
        <w:right w:val="none" w:sz="0" w:space="0" w:color="auto"/>
      </w:divBdr>
    </w:div>
    <w:div w:id="124549977">
      <w:bodyDiv w:val="1"/>
      <w:marLeft w:val="0"/>
      <w:marRight w:val="0"/>
      <w:marTop w:val="0"/>
      <w:marBottom w:val="0"/>
      <w:divBdr>
        <w:top w:val="none" w:sz="0" w:space="0" w:color="auto"/>
        <w:left w:val="none" w:sz="0" w:space="0" w:color="auto"/>
        <w:bottom w:val="none" w:sz="0" w:space="0" w:color="auto"/>
        <w:right w:val="none" w:sz="0" w:space="0" w:color="auto"/>
      </w:divBdr>
    </w:div>
    <w:div w:id="313797091">
      <w:bodyDiv w:val="1"/>
      <w:marLeft w:val="0"/>
      <w:marRight w:val="0"/>
      <w:marTop w:val="0"/>
      <w:marBottom w:val="0"/>
      <w:divBdr>
        <w:top w:val="none" w:sz="0" w:space="0" w:color="auto"/>
        <w:left w:val="none" w:sz="0" w:space="0" w:color="auto"/>
        <w:bottom w:val="none" w:sz="0" w:space="0" w:color="auto"/>
        <w:right w:val="none" w:sz="0" w:space="0" w:color="auto"/>
      </w:divBdr>
    </w:div>
    <w:div w:id="606349171">
      <w:bodyDiv w:val="1"/>
      <w:marLeft w:val="0"/>
      <w:marRight w:val="0"/>
      <w:marTop w:val="0"/>
      <w:marBottom w:val="0"/>
      <w:divBdr>
        <w:top w:val="none" w:sz="0" w:space="0" w:color="auto"/>
        <w:left w:val="none" w:sz="0" w:space="0" w:color="auto"/>
        <w:bottom w:val="none" w:sz="0" w:space="0" w:color="auto"/>
        <w:right w:val="none" w:sz="0" w:space="0" w:color="auto"/>
      </w:divBdr>
    </w:div>
    <w:div w:id="673344184">
      <w:bodyDiv w:val="1"/>
      <w:marLeft w:val="0"/>
      <w:marRight w:val="0"/>
      <w:marTop w:val="0"/>
      <w:marBottom w:val="0"/>
      <w:divBdr>
        <w:top w:val="none" w:sz="0" w:space="0" w:color="auto"/>
        <w:left w:val="none" w:sz="0" w:space="0" w:color="auto"/>
        <w:bottom w:val="none" w:sz="0" w:space="0" w:color="auto"/>
        <w:right w:val="none" w:sz="0" w:space="0" w:color="auto"/>
      </w:divBdr>
    </w:div>
    <w:div w:id="845368769">
      <w:bodyDiv w:val="1"/>
      <w:marLeft w:val="0"/>
      <w:marRight w:val="0"/>
      <w:marTop w:val="0"/>
      <w:marBottom w:val="0"/>
      <w:divBdr>
        <w:top w:val="none" w:sz="0" w:space="0" w:color="auto"/>
        <w:left w:val="none" w:sz="0" w:space="0" w:color="auto"/>
        <w:bottom w:val="none" w:sz="0" w:space="0" w:color="auto"/>
        <w:right w:val="none" w:sz="0" w:space="0" w:color="auto"/>
      </w:divBdr>
    </w:div>
    <w:div w:id="977416792">
      <w:bodyDiv w:val="1"/>
      <w:marLeft w:val="0"/>
      <w:marRight w:val="0"/>
      <w:marTop w:val="0"/>
      <w:marBottom w:val="0"/>
      <w:divBdr>
        <w:top w:val="none" w:sz="0" w:space="0" w:color="auto"/>
        <w:left w:val="none" w:sz="0" w:space="0" w:color="auto"/>
        <w:bottom w:val="none" w:sz="0" w:space="0" w:color="auto"/>
        <w:right w:val="none" w:sz="0" w:space="0" w:color="auto"/>
      </w:divBdr>
    </w:div>
    <w:div w:id="1117336547">
      <w:bodyDiv w:val="1"/>
      <w:marLeft w:val="0"/>
      <w:marRight w:val="0"/>
      <w:marTop w:val="0"/>
      <w:marBottom w:val="0"/>
      <w:divBdr>
        <w:top w:val="none" w:sz="0" w:space="0" w:color="auto"/>
        <w:left w:val="none" w:sz="0" w:space="0" w:color="auto"/>
        <w:bottom w:val="none" w:sz="0" w:space="0" w:color="auto"/>
        <w:right w:val="none" w:sz="0" w:space="0" w:color="auto"/>
      </w:divBdr>
    </w:div>
    <w:div w:id="1246960080">
      <w:bodyDiv w:val="1"/>
      <w:marLeft w:val="0"/>
      <w:marRight w:val="0"/>
      <w:marTop w:val="0"/>
      <w:marBottom w:val="0"/>
      <w:divBdr>
        <w:top w:val="none" w:sz="0" w:space="0" w:color="auto"/>
        <w:left w:val="none" w:sz="0" w:space="0" w:color="auto"/>
        <w:bottom w:val="none" w:sz="0" w:space="0" w:color="auto"/>
        <w:right w:val="none" w:sz="0" w:space="0" w:color="auto"/>
      </w:divBdr>
    </w:div>
    <w:div w:id="1310359336">
      <w:bodyDiv w:val="1"/>
      <w:marLeft w:val="0"/>
      <w:marRight w:val="0"/>
      <w:marTop w:val="0"/>
      <w:marBottom w:val="0"/>
      <w:divBdr>
        <w:top w:val="none" w:sz="0" w:space="0" w:color="auto"/>
        <w:left w:val="none" w:sz="0" w:space="0" w:color="auto"/>
        <w:bottom w:val="none" w:sz="0" w:space="0" w:color="auto"/>
        <w:right w:val="none" w:sz="0" w:space="0" w:color="auto"/>
      </w:divBdr>
    </w:div>
    <w:div w:id="1404183513">
      <w:bodyDiv w:val="1"/>
      <w:marLeft w:val="0"/>
      <w:marRight w:val="0"/>
      <w:marTop w:val="0"/>
      <w:marBottom w:val="0"/>
      <w:divBdr>
        <w:top w:val="none" w:sz="0" w:space="0" w:color="auto"/>
        <w:left w:val="none" w:sz="0" w:space="0" w:color="auto"/>
        <w:bottom w:val="none" w:sz="0" w:space="0" w:color="auto"/>
        <w:right w:val="none" w:sz="0" w:space="0" w:color="auto"/>
      </w:divBdr>
    </w:div>
    <w:div w:id="1464958836">
      <w:bodyDiv w:val="1"/>
      <w:marLeft w:val="0"/>
      <w:marRight w:val="0"/>
      <w:marTop w:val="0"/>
      <w:marBottom w:val="0"/>
      <w:divBdr>
        <w:top w:val="none" w:sz="0" w:space="0" w:color="auto"/>
        <w:left w:val="none" w:sz="0" w:space="0" w:color="auto"/>
        <w:bottom w:val="none" w:sz="0" w:space="0" w:color="auto"/>
        <w:right w:val="none" w:sz="0" w:space="0" w:color="auto"/>
      </w:divBdr>
    </w:div>
    <w:div w:id="1542286993">
      <w:bodyDiv w:val="1"/>
      <w:marLeft w:val="0"/>
      <w:marRight w:val="0"/>
      <w:marTop w:val="0"/>
      <w:marBottom w:val="0"/>
      <w:divBdr>
        <w:top w:val="none" w:sz="0" w:space="0" w:color="auto"/>
        <w:left w:val="none" w:sz="0" w:space="0" w:color="auto"/>
        <w:bottom w:val="none" w:sz="0" w:space="0" w:color="auto"/>
        <w:right w:val="none" w:sz="0" w:space="0" w:color="auto"/>
      </w:divBdr>
    </w:div>
    <w:div w:id="1731541578">
      <w:bodyDiv w:val="1"/>
      <w:marLeft w:val="0"/>
      <w:marRight w:val="0"/>
      <w:marTop w:val="0"/>
      <w:marBottom w:val="0"/>
      <w:divBdr>
        <w:top w:val="none" w:sz="0" w:space="0" w:color="auto"/>
        <w:left w:val="none" w:sz="0" w:space="0" w:color="auto"/>
        <w:bottom w:val="none" w:sz="0" w:space="0" w:color="auto"/>
        <w:right w:val="none" w:sz="0" w:space="0" w:color="auto"/>
      </w:divBdr>
    </w:div>
    <w:div w:id="17710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bsasport.org/" TargetMode="External"/><Relationship Id="rId2" Type="http://schemas.openxmlformats.org/officeDocument/2006/relationships/hyperlink" Target="http://www.ibsasport.org/" TargetMode="External"/><Relationship Id="rId1" Type="http://schemas.openxmlformats.org/officeDocument/2006/relationships/image" Target="media/image1.jpeg"/><Relationship Id="rId4" Type="http://schemas.openxmlformats.org/officeDocument/2006/relationships/hyperlink" Target="http://www.ibsasport.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603</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soares</dc:creator>
  <cp:keywords/>
  <dc:description/>
  <cp:lastModifiedBy>juliana soares</cp:lastModifiedBy>
  <cp:revision>1</cp:revision>
  <dcterms:created xsi:type="dcterms:W3CDTF">2024-02-01T22:21:00Z</dcterms:created>
  <dcterms:modified xsi:type="dcterms:W3CDTF">2024-02-01T22:46:00Z</dcterms:modified>
</cp:coreProperties>
</file>